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25" w:rsidRPr="002A43BC" w:rsidRDefault="002C0425"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bookmarkStart w:id="0" w:name="_GoBack"/>
      <w:bookmarkEnd w:id="0"/>
      <w:r w:rsidRPr="002A43BC">
        <w:rPr>
          <w:rFonts w:ascii="Palatino Linotype" w:eastAsia="Arial Unicode MS" w:hAnsi="Palatino Linotype" w:cs="Arial"/>
          <w:b/>
          <w:color w:val="000000" w:themeColor="text1"/>
          <w:sz w:val="24"/>
          <w:szCs w:val="24"/>
          <w:bdr w:val="nil"/>
        </w:rPr>
        <w:t xml:space="preserve">VOTO DISIDENTE DEL COMISIONADO JOSÉ GUADALUPE LUNA HERNÁNDEZ EN EL RECURSO DE REVISIÓN </w:t>
      </w:r>
      <w:r w:rsidR="002B3F42">
        <w:rPr>
          <w:rFonts w:ascii="Palatino Linotype" w:eastAsia="Arial Unicode MS" w:hAnsi="Palatino Linotype" w:cs="Arial"/>
          <w:b/>
          <w:bCs/>
          <w:sz w:val="24"/>
          <w:szCs w:val="24"/>
          <w:bdr w:val="nil"/>
          <w:lang w:eastAsia="es-MX"/>
        </w:rPr>
        <w:t>00107</w:t>
      </w:r>
      <w:r w:rsidRPr="002A43BC">
        <w:rPr>
          <w:rFonts w:ascii="Palatino Linotype" w:eastAsia="Arial Unicode MS" w:hAnsi="Palatino Linotype" w:cs="Arial"/>
          <w:b/>
          <w:bCs/>
          <w:sz w:val="24"/>
          <w:szCs w:val="24"/>
          <w:bdr w:val="nil"/>
          <w:lang w:eastAsia="es-MX"/>
        </w:rPr>
        <w:t>/INFOEM/IP/RR/201</w:t>
      </w:r>
      <w:r w:rsidR="0090379C">
        <w:rPr>
          <w:rFonts w:ascii="Palatino Linotype" w:eastAsia="Arial Unicode MS" w:hAnsi="Palatino Linotype" w:cs="Arial"/>
          <w:b/>
          <w:bCs/>
          <w:sz w:val="24"/>
          <w:szCs w:val="24"/>
          <w:bdr w:val="nil"/>
          <w:lang w:eastAsia="es-MX"/>
        </w:rPr>
        <w:t>9</w:t>
      </w:r>
      <w:r w:rsidRPr="002A43BC">
        <w:rPr>
          <w:rFonts w:ascii="Palatino Linotype" w:eastAsia="Arial Unicode MS" w:hAnsi="Palatino Linotype" w:cs="Arial"/>
          <w:b/>
          <w:color w:val="000000" w:themeColor="text1"/>
          <w:sz w:val="24"/>
          <w:szCs w:val="24"/>
          <w:bdr w:val="nil"/>
        </w:rPr>
        <w:t>.</w:t>
      </w:r>
    </w:p>
    <w:p w:rsidR="00311B32" w:rsidRPr="002A43BC" w:rsidRDefault="00311B32"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C0425" w:rsidRPr="002A43BC" w:rsidRDefault="0023170E"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r w:rsidRPr="002A43BC">
        <w:rPr>
          <w:rFonts w:ascii="Palatino Linotype" w:eastAsia="Arial Unicode MS" w:hAnsi="Palatino Linotype" w:cs="Arial"/>
          <w:b/>
          <w:color w:val="000000" w:themeColor="text1"/>
          <w:sz w:val="24"/>
          <w:szCs w:val="24"/>
          <w:bdr w:val="nil"/>
        </w:rPr>
        <w:t xml:space="preserve">LÍNEAS ARGUMENTATIVAS: </w:t>
      </w:r>
    </w:p>
    <w:p w:rsidR="002A30A3" w:rsidRPr="002A43BC" w:rsidRDefault="002A30A3" w:rsidP="002A43BC">
      <w:pPr>
        <w:pBdr>
          <w:top w:val="nil"/>
          <w:left w:val="nil"/>
          <w:bottom w:val="nil"/>
          <w:right w:val="nil"/>
          <w:between w:val="nil"/>
          <w:bar w:val="nil"/>
        </w:pBdr>
        <w:spacing w:after="0" w:line="360" w:lineRule="auto"/>
        <w:jc w:val="both"/>
        <w:rPr>
          <w:rFonts w:ascii="Palatino Linotype" w:eastAsia="Arial Unicode MS" w:hAnsi="Palatino Linotype" w:cs="Arial"/>
          <w:b/>
          <w:color w:val="000000" w:themeColor="text1"/>
          <w:sz w:val="24"/>
          <w:szCs w:val="24"/>
          <w:bdr w:val="nil"/>
        </w:rPr>
      </w:pPr>
    </w:p>
    <w:p w:rsidR="0023170E" w:rsidRDefault="0023170E" w:rsidP="0023170E">
      <w:pPr>
        <w:tabs>
          <w:tab w:val="left" w:pos="0"/>
        </w:tabs>
        <w:spacing w:after="0" w:line="360" w:lineRule="auto"/>
        <w:jc w:val="both"/>
        <w:rPr>
          <w:rFonts w:ascii="Palatino Linotype" w:eastAsia="Arial Unicode MS" w:hAnsi="Palatino Linotype" w:cs="Arial"/>
          <w:sz w:val="24"/>
          <w:szCs w:val="24"/>
          <w:lang w:val="es-ES_tradnl" w:eastAsia="es-ES"/>
        </w:rPr>
      </w:pPr>
      <w:r w:rsidRPr="00A57CD1">
        <w:rPr>
          <w:rFonts w:ascii="Palatino Linotype" w:eastAsia="Arial Unicode MS" w:hAnsi="Palatino Linotype" w:cs="Arial"/>
          <w:b/>
          <w:sz w:val="24"/>
          <w:szCs w:val="24"/>
          <w:lang w:val="es-ES_tradnl" w:eastAsia="es-ES"/>
        </w:rPr>
        <w:t>DEBERES DE LAS AUTORIDADES</w:t>
      </w:r>
      <w:r w:rsidRPr="00A57CD1">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CB1589" w:rsidRDefault="00CB1589" w:rsidP="0023170E">
      <w:pPr>
        <w:tabs>
          <w:tab w:val="left" w:pos="0"/>
        </w:tabs>
        <w:spacing w:after="0" w:line="360" w:lineRule="auto"/>
        <w:jc w:val="both"/>
        <w:rPr>
          <w:rFonts w:ascii="Palatino Linotype" w:eastAsia="Arial Unicode MS" w:hAnsi="Palatino Linotype" w:cs="Arial"/>
          <w:sz w:val="24"/>
          <w:szCs w:val="24"/>
          <w:lang w:val="es-ES_tradnl" w:eastAsia="es-ES"/>
        </w:rPr>
      </w:pPr>
    </w:p>
    <w:p w:rsidR="00CB1589" w:rsidRPr="00CB1589" w:rsidRDefault="00CB1589" w:rsidP="00CB1589">
      <w:pPr>
        <w:spacing w:after="0" w:line="360" w:lineRule="auto"/>
        <w:jc w:val="both"/>
        <w:rPr>
          <w:rFonts w:ascii="Palatino Linotype" w:hAnsi="Palatino Linotype" w:cs="Arial"/>
          <w:sz w:val="24"/>
          <w:szCs w:val="24"/>
        </w:rPr>
      </w:pPr>
      <w:r w:rsidRPr="00CB1589">
        <w:rPr>
          <w:rFonts w:ascii="Palatino Linotype" w:hAnsi="Palatino Linotype" w:cs="Arial"/>
          <w:sz w:val="24"/>
          <w:szCs w:val="24"/>
        </w:rPr>
        <w:t>El diseño constitucional y la fuerza de nuestras resoluciones permiten que el Estado Mexicano cumpla con sus compromisos internacionales estableciendo un procedimiento expedito, sencillo y efectivo para reparar las posibles afectaciones al derecho humano de acceso a la información pública.</w:t>
      </w:r>
    </w:p>
    <w:p w:rsidR="00CB1589" w:rsidRPr="00CB1589" w:rsidRDefault="00CB1589" w:rsidP="00CB1589">
      <w:pPr>
        <w:spacing w:before="240" w:after="0" w:line="360" w:lineRule="auto"/>
        <w:contextualSpacing/>
        <w:jc w:val="both"/>
        <w:rPr>
          <w:rFonts w:ascii="Palatino Linotype" w:hAnsi="Palatino Linotype" w:cs="Arial"/>
          <w:color w:val="000000" w:themeColor="text1"/>
          <w:sz w:val="24"/>
          <w:szCs w:val="24"/>
          <w:lang w:val="es-ES"/>
        </w:rPr>
      </w:pPr>
      <w:r w:rsidRPr="00CB1589">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CB1589" w:rsidRPr="00CB1589" w:rsidRDefault="00CB1589" w:rsidP="00CB1589">
      <w:pPr>
        <w:spacing w:before="240" w:after="0" w:line="360" w:lineRule="auto"/>
        <w:contextualSpacing/>
        <w:jc w:val="both"/>
        <w:rPr>
          <w:rFonts w:ascii="Palatino Linotype" w:hAnsi="Palatino Linotype" w:cs="Arial"/>
          <w:color w:val="000000" w:themeColor="text1"/>
          <w:sz w:val="24"/>
          <w:szCs w:val="24"/>
          <w:lang w:val="es-ES"/>
        </w:rPr>
      </w:pPr>
    </w:p>
    <w:p w:rsidR="00CB1589" w:rsidRDefault="00CB1589" w:rsidP="00CB1589">
      <w:pPr>
        <w:tabs>
          <w:tab w:val="left" w:pos="0"/>
        </w:tabs>
        <w:spacing w:after="0" w:line="360" w:lineRule="auto"/>
        <w:jc w:val="both"/>
        <w:rPr>
          <w:rFonts w:ascii="Palatino Linotype" w:hAnsi="Palatino Linotype" w:cs="Arial"/>
          <w:color w:val="000000" w:themeColor="text1"/>
          <w:sz w:val="24"/>
          <w:szCs w:val="24"/>
          <w:lang w:val="es-ES"/>
        </w:rPr>
      </w:pPr>
      <w:r w:rsidRPr="00CB1589">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w:t>
      </w:r>
      <w:r w:rsidRPr="00CB1589">
        <w:rPr>
          <w:rFonts w:ascii="Palatino Linotype" w:hAnsi="Palatino Linotype" w:cs="Arial"/>
          <w:color w:val="000000" w:themeColor="text1"/>
          <w:sz w:val="24"/>
          <w:szCs w:val="24"/>
          <w:lang w:val="es-ES"/>
        </w:rPr>
        <w:lastRenderedPageBreak/>
        <w:t>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w:t>
      </w: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lang w:val="es-ES"/>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r w:rsidRPr="0095491A">
        <w:rPr>
          <w:rFonts w:ascii="Palatino Linotype" w:hAnsi="Palatino Linotype" w:cs="Arial"/>
          <w:color w:val="000000" w:themeColor="text1"/>
          <w:sz w:val="24"/>
          <w:szCs w:val="24"/>
        </w:rPr>
        <w:t>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746109" w:rsidP="00CB1589">
      <w:pPr>
        <w:tabs>
          <w:tab w:val="left" w:pos="0"/>
        </w:tabs>
        <w:spacing w:after="0" w:line="360" w:lineRule="auto"/>
        <w:jc w:val="both"/>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348614</wp:posOffset>
                </wp:positionH>
                <wp:positionV relativeFrom="paragraph">
                  <wp:posOffset>46355</wp:posOffset>
                </wp:positionV>
                <wp:extent cx="5095875" cy="327660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095875" cy="3276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CDD0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3.65pt" to="428.7pt,2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" strokecolor="#5b9bd5 [3204]" strokeweight="3pt">
                <v:stroke joinstyle="miter"/>
              </v:line>
            </w:pict>
          </mc:Fallback>
        </mc:AlternateContent>
      </w: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Default="0095491A" w:rsidP="00CB1589">
      <w:pPr>
        <w:tabs>
          <w:tab w:val="left" w:pos="0"/>
        </w:tabs>
        <w:spacing w:after="0" w:line="360" w:lineRule="auto"/>
        <w:jc w:val="both"/>
        <w:rPr>
          <w:rFonts w:ascii="Palatino Linotype" w:hAnsi="Palatino Linotype" w:cs="Arial"/>
          <w:color w:val="000000" w:themeColor="text1"/>
          <w:sz w:val="24"/>
          <w:szCs w:val="24"/>
        </w:rPr>
      </w:pPr>
    </w:p>
    <w:p w:rsidR="0095491A" w:rsidRPr="00A57CD1" w:rsidRDefault="0095491A" w:rsidP="00CB1589">
      <w:pPr>
        <w:tabs>
          <w:tab w:val="left" w:pos="0"/>
        </w:tabs>
        <w:spacing w:after="0" w:line="360" w:lineRule="auto"/>
        <w:jc w:val="both"/>
        <w:rPr>
          <w:rFonts w:ascii="Palatino Linotype" w:eastAsia="Arial Unicode MS" w:hAnsi="Palatino Linotype" w:cs="Arial"/>
          <w:sz w:val="24"/>
          <w:szCs w:val="24"/>
          <w:lang w:val="es-ES_tradnl" w:eastAsia="es-ES"/>
        </w:rPr>
      </w:pPr>
    </w:p>
    <w:p w:rsidR="002A43BC" w:rsidRPr="002A43BC" w:rsidRDefault="002A43BC" w:rsidP="002A43BC">
      <w:pPr>
        <w:pBdr>
          <w:top w:val="nil"/>
          <w:left w:val="nil"/>
          <w:bottom w:val="nil"/>
          <w:right w:val="nil"/>
          <w:between w:val="nil"/>
          <w:bar w:val="nil"/>
        </w:pBdr>
        <w:spacing w:after="0" w:line="360" w:lineRule="auto"/>
        <w:jc w:val="both"/>
        <w:rPr>
          <w:rFonts w:ascii="Palatino Linotype" w:eastAsia="Calibri" w:hAnsi="Palatino Linotype" w:cs="Times New Roman"/>
          <w:sz w:val="24"/>
          <w:szCs w:val="24"/>
          <w:bdr w:val="nil"/>
        </w:rPr>
      </w:pPr>
    </w:p>
    <w:sdt>
      <w:sdtPr>
        <w:rPr>
          <w:rFonts w:ascii="Palatino Linotype" w:hAnsi="Palatino Linotype"/>
          <w:b/>
          <w:sz w:val="24"/>
          <w:szCs w:val="24"/>
          <w:bdr w:val="nil"/>
          <w:lang w:val="es-ES"/>
        </w:rPr>
        <w:id w:val="267358099"/>
        <w:docPartObj>
          <w:docPartGallery w:val="Table of Contents"/>
          <w:docPartUnique/>
        </w:docPartObj>
      </w:sdtPr>
      <w:sdtEndPr>
        <w:rPr>
          <w:rFonts w:asciiTheme="minorHAnsi" w:hAnsiTheme="minorHAnsi"/>
          <w:b w:val="0"/>
          <w:sz w:val="22"/>
          <w:szCs w:val="22"/>
        </w:rPr>
      </w:sdtEndPr>
      <w:sdtContent>
        <w:p w:rsidR="002C0425" w:rsidRPr="005001CF" w:rsidRDefault="002C0425" w:rsidP="002A43BC">
          <w:pPr>
            <w:keepNext/>
            <w:keepLines/>
            <w:spacing w:after="0" w:line="360" w:lineRule="auto"/>
            <w:jc w:val="center"/>
            <w:rPr>
              <w:rFonts w:ascii="Palatino Linotype" w:eastAsiaTheme="majorEastAsia" w:hAnsi="Palatino Linotype" w:cstheme="majorBidi"/>
              <w:b/>
              <w:sz w:val="24"/>
              <w:szCs w:val="24"/>
              <w:lang w:eastAsia="es-MX"/>
            </w:rPr>
          </w:pPr>
          <w:r w:rsidRPr="005001CF">
            <w:rPr>
              <w:rFonts w:ascii="Palatino Linotype" w:eastAsiaTheme="majorEastAsia" w:hAnsi="Palatino Linotype" w:cstheme="majorBidi"/>
              <w:b/>
              <w:sz w:val="24"/>
              <w:szCs w:val="24"/>
              <w:lang w:val="es-ES" w:eastAsia="es-MX"/>
            </w:rPr>
            <w:t>Índice</w:t>
          </w:r>
        </w:p>
        <w:p w:rsidR="00746109" w:rsidRDefault="002C0425">
          <w:pPr>
            <w:pStyle w:val="TDC1"/>
            <w:rPr>
              <w:rFonts w:eastAsiaTheme="minorEastAsia"/>
              <w:noProof/>
              <w:lang w:eastAsia="es-MX"/>
            </w:rPr>
          </w:pPr>
          <w:r w:rsidRPr="002A43BC">
            <w:rPr>
              <w:rFonts w:ascii="Palatino Linotype" w:eastAsia="Arial Unicode MS" w:hAnsi="Palatino Linotype" w:cs="Times New Roman"/>
              <w:b/>
              <w:noProof/>
              <w:color w:val="000000" w:themeColor="text1"/>
              <w:sz w:val="24"/>
              <w:szCs w:val="24"/>
              <w:bdr w:val="nil"/>
            </w:rPr>
            <w:fldChar w:fldCharType="begin"/>
          </w:r>
          <w:r w:rsidRPr="002A43BC">
            <w:rPr>
              <w:rFonts w:ascii="Palatino Linotype" w:eastAsia="Arial Unicode MS" w:hAnsi="Palatino Linotype" w:cs="Times New Roman"/>
              <w:b/>
              <w:color w:val="000000" w:themeColor="text1"/>
              <w:sz w:val="24"/>
              <w:szCs w:val="24"/>
              <w:bdr w:val="nil"/>
            </w:rPr>
            <w:instrText xml:space="preserve"> TOC \o "1-3" \h \z \u </w:instrText>
          </w:r>
          <w:r w:rsidRPr="002A43BC">
            <w:rPr>
              <w:rFonts w:ascii="Palatino Linotype" w:eastAsia="Arial Unicode MS" w:hAnsi="Palatino Linotype" w:cs="Times New Roman"/>
              <w:b/>
              <w:noProof/>
              <w:color w:val="000000" w:themeColor="text1"/>
              <w:sz w:val="24"/>
              <w:szCs w:val="24"/>
              <w:bdr w:val="nil"/>
            </w:rPr>
            <w:fldChar w:fldCharType="separate"/>
          </w:r>
          <w:hyperlink w:anchor="_Toc3911799" w:history="1">
            <w:r w:rsidR="00746109" w:rsidRPr="00310314">
              <w:rPr>
                <w:rStyle w:val="Hipervnculo"/>
                <w:rFonts w:ascii="Palatino Linotype" w:eastAsiaTheme="majorEastAsia" w:hAnsi="Palatino Linotype" w:cstheme="majorBidi"/>
                <w:b/>
                <w:noProof/>
                <w:bdr w:val="nil"/>
              </w:rPr>
              <w:t>Consideraciones Generales.</w:t>
            </w:r>
            <w:r w:rsidR="00746109">
              <w:rPr>
                <w:noProof/>
                <w:webHidden/>
              </w:rPr>
              <w:tab/>
            </w:r>
            <w:r w:rsidR="00746109">
              <w:rPr>
                <w:noProof/>
                <w:webHidden/>
              </w:rPr>
              <w:fldChar w:fldCharType="begin"/>
            </w:r>
            <w:r w:rsidR="00746109">
              <w:rPr>
                <w:noProof/>
                <w:webHidden/>
              </w:rPr>
              <w:instrText xml:space="preserve"> PAGEREF _Toc3911799 \h </w:instrText>
            </w:r>
            <w:r w:rsidR="00746109">
              <w:rPr>
                <w:noProof/>
                <w:webHidden/>
              </w:rPr>
            </w:r>
            <w:r w:rsidR="00746109">
              <w:rPr>
                <w:noProof/>
                <w:webHidden/>
              </w:rPr>
              <w:fldChar w:fldCharType="separate"/>
            </w:r>
            <w:r w:rsidR="00A8690E">
              <w:rPr>
                <w:noProof/>
                <w:webHidden/>
              </w:rPr>
              <w:t>3</w:t>
            </w:r>
            <w:r w:rsidR="00746109">
              <w:rPr>
                <w:noProof/>
                <w:webHidden/>
              </w:rPr>
              <w:fldChar w:fldCharType="end"/>
            </w:r>
          </w:hyperlink>
        </w:p>
        <w:p w:rsidR="00746109" w:rsidRDefault="002A4F65">
          <w:pPr>
            <w:pStyle w:val="TDC1"/>
            <w:rPr>
              <w:rFonts w:eastAsiaTheme="minorEastAsia"/>
              <w:noProof/>
              <w:lang w:eastAsia="es-MX"/>
            </w:rPr>
          </w:pPr>
          <w:hyperlink w:anchor="_Toc3911800" w:history="1">
            <w:r w:rsidR="00746109" w:rsidRPr="00310314">
              <w:rPr>
                <w:rStyle w:val="Hipervnculo"/>
                <w:rFonts w:ascii="Palatino Linotype" w:eastAsiaTheme="majorEastAsia" w:hAnsi="Palatino Linotype" w:cstheme="majorBidi"/>
                <w:b/>
                <w:noProof/>
                <w:bdr w:val="nil"/>
              </w:rPr>
              <w:t>I.</w:t>
            </w:r>
            <w:r w:rsidR="00746109">
              <w:rPr>
                <w:rFonts w:eastAsiaTheme="minorEastAsia"/>
                <w:noProof/>
                <w:lang w:eastAsia="es-MX"/>
              </w:rPr>
              <w:tab/>
            </w:r>
            <w:r w:rsidR="00746109" w:rsidRPr="00310314">
              <w:rPr>
                <w:rStyle w:val="Hipervnculo"/>
                <w:rFonts w:ascii="Palatino Linotype" w:eastAsiaTheme="majorEastAsia" w:hAnsi="Palatino Linotype" w:cstheme="majorBidi"/>
                <w:b/>
                <w:noProof/>
                <w:bdr w:val="nil"/>
              </w:rPr>
              <w:t>De los requerimientos planteados en el recurso de revisión.</w:t>
            </w:r>
            <w:r w:rsidR="00746109">
              <w:rPr>
                <w:noProof/>
                <w:webHidden/>
              </w:rPr>
              <w:tab/>
            </w:r>
            <w:r w:rsidR="00746109">
              <w:rPr>
                <w:noProof/>
                <w:webHidden/>
              </w:rPr>
              <w:fldChar w:fldCharType="begin"/>
            </w:r>
            <w:r w:rsidR="00746109">
              <w:rPr>
                <w:noProof/>
                <w:webHidden/>
              </w:rPr>
              <w:instrText xml:space="preserve"> PAGEREF _Toc3911800 \h </w:instrText>
            </w:r>
            <w:r w:rsidR="00746109">
              <w:rPr>
                <w:noProof/>
                <w:webHidden/>
              </w:rPr>
            </w:r>
            <w:r w:rsidR="00746109">
              <w:rPr>
                <w:noProof/>
                <w:webHidden/>
              </w:rPr>
              <w:fldChar w:fldCharType="separate"/>
            </w:r>
            <w:r w:rsidR="00A8690E">
              <w:rPr>
                <w:noProof/>
                <w:webHidden/>
              </w:rPr>
              <w:t>5</w:t>
            </w:r>
            <w:r w:rsidR="00746109">
              <w:rPr>
                <w:noProof/>
                <w:webHidden/>
              </w:rPr>
              <w:fldChar w:fldCharType="end"/>
            </w:r>
          </w:hyperlink>
        </w:p>
        <w:p w:rsidR="00746109" w:rsidRDefault="002A4F65">
          <w:pPr>
            <w:pStyle w:val="TDC2"/>
            <w:tabs>
              <w:tab w:val="left" w:pos="880"/>
              <w:tab w:val="right" w:leader="dot" w:pos="8828"/>
            </w:tabs>
            <w:rPr>
              <w:rFonts w:eastAsiaTheme="minorEastAsia"/>
              <w:noProof/>
              <w:lang w:eastAsia="es-MX"/>
            </w:rPr>
          </w:pPr>
          <w:hyperlink w:anchor="_Toc3911801" w:history="1">
            <w:r w:rsidR="00746109" w:rsidRPr="00310314">
              <w:rPr>
                <w:rStyle w:val="Hipervnculo"/>
                <w:rFonts w:ascii="Palatino Linotype" w:eastAsiaTheme="majorEastAsia" w:hAnsi="Palatino Linotype" w:cstheme="majorBidi"/>
                <w:b/>
                <w:noProof/>
                <w:bdr w:val="nil"/>
              </w:rPr>
              <w:t>II.</w:t>
            </w:r>
            <w:r w:rsidR="00746109">
              <w:rPr>
                <w:rFonts w:eastAsiaTheme="minorEastAsia"/>
                <w:noProof/>
                <w:lang w:eastAsia="es-MX"/>
              </w:rPr>
              <w:tab/>
            </w:r>
            <w:r w:rsidR="00746109" w:rsidRPr="00310314">
              <w:rPr>
                <w:rStyle w:val="Hipervnculo"/>
                <w:rFonts w:ascii="Palatino Linotype" w:eastAsiaTheme="majorEastAsia" w:hAnsi="Palatino Linotype" w:cstheme="majorBidi"/>
                <w:b/>
                <w:noProof/>
                <w:bdr w:val="nil"/>
              </w:rPr>
              <w:t>De la entrega de la información.</w:t>
            </w:r>
            <w:r w:rsidR="00746109">
              <w:rPr>
                <w:noProof/>
                <w:webHidden/>
              </w:rPr>
              <w:tab/>
            </w:r>
            <w:r w:rsidR="00746109">
              <w:rPr>
                <w:noProof/>
                <w:webHidden/>
              </w:rPr>
              <w:fldChar w:fldCharType="begin"/>
            </w:r>
            <w:r w:rsidR="00746109">
              <w:rPr>
                <w:noProof/>
                <w:webHidden/>
              </w:rPr>
              <w:instrText xml:space="preserve"> PAGEREF _Toc3911801 \h </w:instrText>
            </w:r>
            <w:r w:rsidR="00746109">
              <w:rPr>
                <w:noProof/>
                <w:webHidden/>
              </w:rPr>
            </w:r>
            <w:r w:rsidR="00746109">
              <w:rPr>
                <w:noProof/>
                <w:webHidden/>
              </w:rPr>
              <w:fldChar w:fldCharType="separate"/>
            </w:r>
            <w:r w:rsidR="00A8690E">
              <w:rPr>
                <w:noProof/>
                <w:webHidden/>
              </w:rPr>
              <w:t>6</w:t>
            </w:r>
            <w:r w:rsidR="00746109">
              <w:rPr>
                <w:noProof/>
                <w:webHidden/>
              </w:rPr>
              <w:fldChar w:fldCharType="end"/>
            </w:r>
          </w:hyperlink>
        </w:p>
        <w:p w:rsidR="00746109" w:rsidRDefault="002A4F65">
          <w:pPr>
            <w:pStyle w:val="TDC2"/>
            <w:tabs>
              <w:tab w:val="left" w:pos="660"/>
              <w:tab w:val="right" w:leader="dot" w:pos="8828"/>
            </w:tabs>
            <w:rPr>
              <w:rFonts w:eastAsiaTheme="minorEastAsia"/>
              <w:noProof/>
              <w:lang w:eastAsia="es-MX"/>
            </w:rPr>
          </w:pPr>
          <w:hyperlink w:anchor="_Toc3911802" w:history="1">
            <w:r w:rsidR="00746109" w:rsidRPr="00310314">
              <w:rPr>
                <w:rStyle w:val="Hipervnculo"/>
                <w:rFonts w:ascii="Palatino Linotype" w:eastAsiaTheme="majorEastAsia" w:hAnsi="Palatino Linotype" w:cstheme="majorBidi"/>
                <w:b/>
                <w:noProof/>
                <w:bdr w:val="nil"/>
              </w:rPr>
              <w:t>a)</w:t>
            </w:r>
            <w:r w:rsidR="00746109">
              <w:rPr>
                <w:rFonts w:eastAsiaTheme="minorEastAsia"/>
                <w:noProof/>
                <w:lang w:eastAsia="es-MX"/>
              </w:rPr>
              <w:tab/>
            </w:r>
            <w:r w:rsidR="00746109" w:rsidRPr="00310314">
              <w:rPr>
                <w:rStyle w:val="Hipervnculo"/>
                <w:rFonts w:ascii="Palatino Linotype" w:eastAsiaTheme="majorEastAsia" w:hAnsi="Palatino Linotype" w:cstheme="majorBidi"/>
                <w:b/>
                <w:noProof/>
                <w:bdr w:val="nil"/>
              </w:rPr>
              <w:t>Acto de autoridad.</w:t>
            </w:r>
            <w:r w:rsidR="00746109">
              <w:rPr>
                <w:noProof/>
                <w:webHidden/>
              </w:rPr>
              <w:tab/>
            </w:r>
            <w:r w:rsidR="00746109">
              <w:rPr>
                <w:noProof/>
                <w:webHidden/>
              </w:rPr>
              <w:fldChar w:fldCharType="begin"/>
            </w:r>
            <w:r w:rsidR="00746109">
              <w:rPr>
                <w:noProof/>
                <w:webHidden/>
              </w:rPr>
              <w:instrText xml:space="preserve"> PAGEREF _Toc3911802 \h </w:instrText>
            </w:r>
            <w:r w:rsidR="00746109">
              <w:rPr>
                <w:noProof/>
                <w:webHidden/>
              </w:rPr>
            </w:r>
            <w:r w:rsidR="00746109">
              <w:rPr>
                <w:noProof/>
                <w:webHidden/>
              </w:rPr>
              <w:fldChar w:fldCharType="separate"/>
            </w:r>
            <w:r w:rsidR="00A8690E">
              <w:rPr>
                <w:noProof/>
                <w:webHidden/>
              </w:rPr>
              <w:t>6</w:t>
            </w:r>
            <w:r w:rsidR="00746109">
              <w:rPr>
                <w:noProof/>
                <w:webHidden/>
              </w:rPr>
              <w:fldChar w:fldCharType="end"/>
            </w:r>
          </w:hyperlink>
        </w:p>
        <w:p w:rsidR="00746109" w:rsidRDefault="002A4F65">
          <w:pPr>
            <w:pStyle w:val="TDC1"/>
            <w:tabs>
              <w:tab w:val="left" w:pos="880"/>
            </w:tabs>
            <w:rPr>
              <w:rFonts w:eastAsiaTheme="minorEastAsia"/>
              <w:noProof/>
              <w:lang w:eastAsia="es-MX"/>
            </w:rPr>
          </w:pPr>
          <w:hyperlink w:anchor="_Toc3911803" w:history="1">
            <w:r w:rsidR="00746109" w:rsidRPr="00310314">
              <w:rPr>
                <w:rStyle w:val="Hipervnculo"/>
                <w:rFonts w:ascii="Palatino Linotype" w:eastAsia="Arial Unicode MS" w:hAnsi="Palatino Linotype"/>
                <w:b/>
                <w:noProof/>
                <w:bdr w:val="nil"/>
              </w:rPr>
              <w:t>III.</w:t>
            </w:r>
            <w:r w:rsidR="00746109">
              <w:rPr>
                <w:rFonts w:eastAsiaTheme="minorEastAsia"/>
                <w:noProof/>
                <w:lang w:eastAsia="es-MX"/>
              </w:rPr>
              <w:tab/>
            </w:r>
            <w:r w:rsidR="00746109" w:rsidRPr="00310314">
              <w:rPr>
                <w:rStyle w:val="Hipervnculo"/>
                <w:rFonts w:ascii="Palatino Linotype" w:eastAsia="Arial Unicode MS" w:hAnsi="Palatino Linotype"/>
                <w:b/>
                <w:noProof/>
                <w:bdr w:val="nil"/>
              </w:rPr>
              <w:t>De la impugnación en Vía de Juicio de Amparo</w:t>
            </w:r>
            <w:r w:rsidR="00746109">
              <w:rPr>
                <w:noProof/>
                <w:webHidden/>
              </w:rPr>
              <w:tab/>
            </w:r>
            <w:r w:rsidR="00746109">
              <w:rPr>
                <w:noProof/>
                <w:webHidden/>
              </w:rPr>
              <w:fldChar w:fldCharType="begin"/>
            </w:r>
            <w:r w:rsidR="00746109">
              <w:rPr>
                <w:noProof/>
                <w:webHidden/>
              </w:rPr>
              <w:instrText xml:space="preserve"> PAGEREF _Toc3911803 \h </w:instrText>
            </w:r>
            <w:r w:rsidR="00746109">
              <w:rPr>
                <w:noProof/>
                <w:webHidden/>
              </w:rPr>
            </w:r>
            <w:r w:rsidR="00746109">
              <w:rPr>
                <w:noProof/>
                <w:webHidden/>
              </w:rPr>
              <w:fldChar w:fldCharType="separate"/>
            </w:r>
            <w:r w:rsidR="00A8690E">
              <w:rPr>
                <w:noProof/>
                <w:webHidden/>
              </w:rPr>
              <w:t>10</w:t>
            </w:r>
            <w:r w:rsidR="00746109">
              <w:rPr>
                <w:noProof/>
                <w:webHidden/>
              </w:rPr>
              <w:fldChar w:fldCharType="end"/>
            </w:r>
          </w:hyperlink>
        </w:p>
        <w:p w:rsidR="00746109" w:rsidRDefault="002A4F65">
          <w:pPr>
            <w:pStyle w:val="TDC2"/>
            <w:tabs>
              <w:tab w:val="left" w:pos="880"/>
              <w:tab w:val="right" w:leader="dot" w:pos="8828"/>
            </w:tabs>
            <w:rPr>
              <w:rFonts w:eastAsiaTheme="minorEastAsia"/>
              <w:noProof/>
              <w:lang w:eastAsia="es-MX"/>
            </w:rPr>
          </w:pPr>
          <w:hyperlink w:anchor="_Toc3911804" w:history="1">
            <w:r w:rsidR="00746109" w:rsidRPr="00310314">
              <w:rPr>
                <w:rStyle w:val="Hipervnculo"/>
                <w:rFonts w:ascii="Palatino Linotype" w:hAnsi="Palatino Linotype"/>
                <w:b/>
                <w:noProof/>
                <w:lang w:val="es-ES"/>
              </w:rPr>
              <w:t>A)</w:t>
            </w:r>
            <w:r w:rsidR="00746109">
              <w:rPr>
                <w:rFonts w:eastAsiaTheme="minorEastAsia"/>
                <w:noProof/>
                <w:lang w:eastAsia="es-MX"/>
              </w:rPr>
              <w:tab/>
            </w:r>
            <w:r w:rsidR="00746109" w:rsidRPr="00310314">
              <w:rPr>
                <w:rStyle w:val="Hipervnculo"/>
                <w:rFonts w:ascii="Palatino Linotype" w:hAnsi="Palatino Linotype"/>
                <w:b/>
                <w:noProof/>
                <w:lang w:val="es-ES"/>
              </w:rPr>
              <w:t>La naturaleza de los Sujetos Obligados.</w:t>
            </w:r>
            <w:r w:rsidR="00746109">
              <w:rPr>
                <w:noProof/>
                <w:webHidden/>
              </w:rPr>
              <w:tab/>
            </w:r>
            <w:r w:rsidR="00746109">
              <w:rPr>
                <w:noProof/>
                <w:webHidden/>
              </w:rPr>
              <w:fldChar w:fldCharType="begin"/>
            </w:r>
            <w:r w:rsidR="00746109">
              <w:rPr>
                <w:noProof/>
                <w:webHidden/>
              </w:rPr>
              <w:instrText xml:space="preserve"> PAGEREF _Toc3911804 \h </w:instrText>
            </w:r>
            <w:r w:rsidR="00746109">
              <w:rPr>
                <w:noProof/>
                <w:webHidden/>
              </w:rPr>
            </w:r>
            <w:r w:rsidR="00746109">
              <w:rPr>
                <w:noProof/>
                <w:webHidden/>
              </w:rPr>
              <w:fldChar w:fldCharType="separate"/>
            </w:r>
            <w:r w:rsidR="00A8690E">
              <w:rPr>
                <w:noProof/>
                <w:webHidden/>
              </w:rPr>
              <w:t>13</w:t>
            </w:r>
            <w:r w:rsidR="00746109">
              <w:rPr>
                <w:noProof/>
                <w:webHidden/>
              </w:rPr>
              <w:fldChar w:fldCharType="end"/>
            </w:r>
          </w:hyperlink>
        </w:p>
        <w:p w:rsidR="00746109" w:rsidRDefault="002A4F65">
          <w:pPr>
            <w:pStyle w:val="TDC1"/>
            <w:tabs>
              <w:tab w:val="left" w:pos="880"/>
            </w:tabs>
            <w:rPr>
              <w:rFonts w:eastAsiaTheme="minorEastAsia"/>
              <w:noProof/>
              <w:lang w:eastAsia="es-MX"/>
            </w:rPr>
          </w:pPr>
          <w:hyperlink w:anchor="_Toc3911805" w:history="1">
            <w:r w:rsidR="00746109" w:rsidRPr="00310314">
              <w:rPr>
                <w:rStyle w:val="Hipervnculo"/>
                <w:rFonts w:ascii="Palatino Linotype" w:eastAsiaTheme="majorEastAsia" w:hAnsi="Palatino Linotype" w:cstheme="majorBidi"/>
                <w:b/>
                <w:noProof/>
                <w:lang w:val="es-ES"/>
              </w:rPr>
              <w:t>B)</w:t>
            </w:r>
            <w:r w:rsidR="00746109">
              <w:rPr>
                <w:rFonts w:eastAsiaTheme="minorEastAsia"/>
                <w:noProof/>
                <w:lang w:eastAsia="es-MX"/>
              </w:rPr>
              <w:tab/>
            </w:r>
            <w:r w:rsidR="00746109" w:rsidRPr="00310314">
              <w:rPr>
                <w:rStyle w:val="Hipervnculo"/>
                <w:rFonts w:ascii="Palatino Linotype" w:eastAsiaTheme="majorEastAsia" w:hAnsi="Palatino Linotype" w:cstheme="majorBidi"/>
                <w:b/>
                <w:noProof/>
                <w:lang w:val="es-ES"/>
              </w:rPr>
              <w:t>Problema y propuesta.</w:t>
            </w:r>
            <w:r w:rsidR="00746109">
              <w:rPr>
                <w:noProof/>
                <w:webHidden/>
              </w:rPr>
              <w:tab/>
            </w:r>
            <w:r w:rsidR="00746109">
              <w:rPr>
                <w:noProof/>
                <w:webHidden/>
              </w:rPr>
              <w:fldChar w:fldCharType="begin"/>
            </w:r>
            <w:r w:rsidR="00746109">
              <w:rPr>
                <w:noProof/>
                <w:webHidden/>
              </w:rPr>
              <w:instrText xml:space="preserve"> PAGEREF _Toc3911805 \h </w:instrText>
            </w:r>
            <w:r w:rsidR="00746109">
              <w:rPr>
                <w:noProof/>
                <w:webHidden/>
              </w:rPr>
            </w:r>
            <w:r w:rsidR="00746109">
              <w:rPr>
                <w:noProof/>
                <w:webHidden/>
              </w:rPr>
              <w:fldChar w:fldCharType="separate"/>
            </w:r>
            <w:r w:rsidR="00A8690E">
              <w:rPr>
                <w:noProof/>
                <w:webHidden/>
              </w:rPr>
              <w:t>21</w:t>
            </w:r>
            <w:r w:rsidR="00746109">
              <w:rPr>
                <w:noProof/>
                <w:webHidden/>
              </w:rPr>
              <w:fldChar w:fldCharType="end"/>
            </w:r>
          </w:hyperlink>
        </w:p>
        <w:p w:rsidR="00746109" w:rsidRDefault="002A4F65">
          <w:pPr>
            <w:pStyle w:val="TDC1"/>
            <w:tabs>
              <w:tab w:val="left" w:pos="880"/>
            </w:tabs>
            <w:rPr>
              <w:rFonts w:eastAsiaTheme="minorEastAsia"/>
              <w:noProof/>
              <w:lang w:eastAsia="es-MX"/>
            </w:rPr>
          </w:pPr>
          <w:hyperlink w:anchor="_Toc3911806" w:history="1">
            <w:r w:rsidR="00746109" w:rsidRPr="00310314">
              <w:rPr>
                <w:rStyle w:val="Hipervnculo"/>
                <w:rFonts w:ascii="Palatino Linotype" w:eastAsia="Arial Unicode MS" w:hAnsi="Palatino Linotype"/>
                <w:b/>
                <w:noProof/>
                <w:bdr w:val="nil"/>
              </w:rPr>
              <w:t>IV.</w:t>
            </w:r>
            <w:r w:rsidR="00746109">
              <w:rPr>
                <w:rFonts w:eastAsiaTheme="minorEastAsia"/>
                <w:noProof/>
                <w:lang w:eastAsia="es-MX"/>
              </w:rPr>
              <w:tab/>
            </w:r>
            <w:r w:rsidR="00746109" w:rsidRPr="00310314">
              <w:rPr>
                <w:rStyle w:val="Hipervnculo"/>
                <w:rFonts w:ascii="Palatino Linotype" w:eastAsia="Arial Unicode MS" w:hAnsi="Palatino Linotype"/>
                <w:b/>
                <w:noProof/>
                <w:bdr w:val="nil"/>
              </w:rPr>
              <w:t>Del Pronunciamiento Simple</w:t>
            </w:r>
            <w:r w:rsidR="00746109">
              <w:rPr>
                <w:noProof/>
                <w:webHidden/>
              </w:rPr>
              <w:tab/>
            </w:r>
            <w:r w:rsidR="00746109">
              <w:rPr>
                <w:noProof/>
                <w:webHidden/>
              </w:rPr>
              <w:fldChar w:fldCharType="begin"/>
            </w:r>
            <w:r w:rsidR="00746109">
              <w:rPr>
                <w:noProof/>
                <w:webHidden/>
              </w:rPr>
              <w:instrText xml:space="preserve"> PAGEREF _Toc3911806 \h </w:instrText>
            </w:r>
            <w:r w:rsidR="00746109">
              <w:rPr>
                <w:noProof/>
                <w:webHidden/>
              </w:rPr>
            </w:r>
            <w:r w:rsidR="00746109">
              <w:rPr>
                <w:noProof/>
                <w:webHidden/>
              </w:rPr>
              <w:fldChar w:fldCharType="separate"/>
            </w:r>
            <w:r w:rsidR="00A8690E">
              <w:rPr>
                <w:noProof/>
                <w:webHidden/>
              </w:rPr>
              <w:t>24</w:t>
            </w:r>
            <w:r w:rsidR="00746109">
              <w:rPr>
                <w:noProof/>
                <w:webHidden/>
              </w:rPr>
              <w:fldChar w:fldCharType="end"/>
            </w:r>
          </w:hyperlink>
        </w:p>
        <w:p w:rsidR="00746109" w:rsidRDefault="002A4F65">
          <w:pPr>
            <w:pStyle w:val="TDC2"/>
            <w:tabs>
              <w:tab w:val="left" w:pos="660"/>
              <w:tab w:val="right" w:leader="dot" w:pos="8828"/>
            </w:tabs>
            <w:rPr>
              <w:rFonts w:eastAsiaTheme="minorEastAsia"/>
              <w:noProof/>
              <w:lang w:eastAsia="es-MX"/>
            </w:rPr>
          </w:pPr>
          <w:hyperlink w:anchor="_Toc3911807" w:history="1">
            <w:r w:rsidR="00746109" w:rsidRPr="00310314">
              <w:rPr>
                <w:rStyle w:val="Hipervnculo"/>
                <w:rFonts w:ascii="Palatino Linotype" w:hAnsi="Palatino Linotype"/>
                <w:b/>
                <w:noProof/>
              </w:rPr>
              <w:t>a)</w:t>
            </w:r>
            <w:r w:rsidR="00746109">
              <w:rPr>
                <w:rFonts w:eastAsiaTheme="minorEastAsia"/>
                <w:noProof/>
                <w:lang w:eastAsia="es-MX"/>
              </w:rPr>
              <w:tab/>
            </w:r>
            <w:r w:rsidR="00746109" w:rsidRPr="00310314">
              <w:rPr>
                <w:rStyle w:val="Hipervnculo"/>
                <w:rFonts w:ascii="Palatino Linotype" w:hAnsi="Palatino Linotype"/>
                <w:b/>
                <w:noProof/>
              </w:rPr>
              <w:t>Del artículo 19 de la ley de la materia.</w:t>
            </w:r>
            <w:r w:rsidR="00746109">
              <w:rPr>
                <w:noProof/>
                <w:webHidden/>
              </w:rPr>
              <w:tab/>
            </w:r>
            <w:r w:rsidR="00746109">
              <w:rPr>
                <w:noProof/>
                <w:webHidden/>
              </w:rPr>
              <w:fldChar w:fldCharType="begin"/>
            </w:r>
            <w:r w:rsidR="00746109">
              <w:rPr>
                <w:noProof/>
                <w:webHidden/>
              </w:rPr>
              <w:instrText xml:space="preserve"> PAGEREF _Toc3911807 \h </w:instrText>
            </w:r>
            <w:r w:rsidR="00746109">
              <w:rPr>
                <w:noProof/>
                <w:webHidden/>
              </w:rPr>
            </w:r>
            <w:r w:rsidR="00746109">
              <w:rPr>
                <w:noProof/>
                <w:webHidden/>
              </w:rPr>
              <w:fldChar w:fldCharType="separate"/>
            </w:r>
            <w:r w:rsidR="00A8690E">
              <w:rPr>
                <w:noProof/>
                <w:webHidden/>
              </w:rPr>
              <w:t>30</w:t>
            </w:r>
            <w:r w:rsidR="00746109">
              <w:rPr>
                <w:noProof/>
                <w:webHidden/>
              </w:rPr>
              <w:fldChar w:fldCharType="end"/>
            </w:r>
          </w:hyperlink>
        </w:p>
        <w:p w:rsidR="00746109" w:rsidRDefault="002A4F65">
          <w:pPr>
            <w:pStyle w:val="TDC2"/>
            <w:tabs>
              <w:tab w:val="right" w:leader="dot" w:pos="8828"/>
            </w:tabs>
            <w:rPr>
              <w:rFonts w:eastAsiaTheme="minorEastAsia"/>
              <w:noProof/>
              <w:lang w:eastAsia="es-MX"/>
            </w:rPr>
          </w:pPr>
          <w:hyperlink w:anchor="_Toc3911808" w:history="1">
            <w:r w:rsidR="00746109" w:rsidRPr="00310314">
              <w:rPr>
                <w:rStyle w:val="Hipervnculo"/>
                <w:rFonts w:ascii="Palatino Linotype" w:eastAsiaTheme="majorEastAsia" w:hAnsi="Palatino Linotype" w:cstheme="majorBidi"/>
                <w:b/>
                <w:noProof/>
                <w:bdr w:val="nil"/>
              </w:rPr>
              <w:t>V. Conclusión.</w:t>
            </w:r>
            <w:r w:rsidR="00746109">
              <w:rPr>
                <w:noProof/>
                <w:webHidden/>
              </w:rPr>
              <w:tab/>
            </w:r>
            <w:r w:rsidR="00746109">
              <w:rPr>
                <w:noProof/>
                <w:webHidden/>
              </w:rPr>
              <w:fldChar w:fldCharType="begin"/>
            </w:r>
            <w:r w:rsidR="00746109">
              <w:rPr>
                <w:noProof/>
                <w:webHidden/>
              </w:rPr>
              <w:instrText xml:space="preserve"> PAGEREF _Toc3911808 \h </w:instrText>
            </w:r>
            <w:r w:rsidR="00746109">
              <w:rPr>
                <w:noProof/>
                <w:webHidden/>
              </w:rPr>
            </w:r>
            <w:r w:rsidR="00746109">
              <w:rPr>
                <w:noProof/>
                <w:webHidden/>
              </w:rPr>
              <w:fldChar w:fldCharType="separate"/>
            </w:r>
            <w:r w:rsidR="00A8690E">
              <w:rPr>
                <w:noProof/>
                <w:webHidden/>
              </w:rPr>
              <w:t>41</w:t>
            </w:r>
            <w:r w:rsidR="00746109">
              <w:rPr>
                <w:noProof/>
                <w:webHidden/>
              </w:rPr>
              <w:fldChar w:fldCharType="end"/>
            </w:r>
          </w:hyperlink>
        </w:p>
        <w:p w:rsidR="000150BA" w:rsidRDefault="002C0425" w:rsidP="000150BA">
          <w:pPr>
            <w:pBdr>
              <w:top w:val="nil"/>
              <w:left w:val="nil"/>
              <w:bottom w:val="nil"/>
              <w:right w:val="nil"/>
              <w:between w:val="nil"/>
              <w:bar w:val="nil"/>
            </w:pBdr>
            <w:spacing w:after="0" w:line="360" w:lineRule="auto"/>
            <w:rPr>
              <w:rFonts w:ascii="Palatino Linotype" w:eastAsia="Arial Unicode MS" w:hAnsi="Palatino Linotype" w:cs="Times New Roman"/>
              <w:b/>
              <w:color w:val="000000" w:themeColor="text1"/>
              <w:sz w:val="24"/>
              <w:szCs w:val="24"/>
              <w:bdr w:val="nil"/>
            </w:rPr>
          </w:pPr>
          <w:r w:rsidRPr="002A43BC">
            <w:rPr>
              <w:rFonts w:ascii="Palatino Linotype" w:eastAsia="Arial Unicode MS" w:hAnsi="Palatino Linotype" w:cs="Times New Roman"/>
              <w:b/>
              <w:bCs/>
              <w:color w:val="000000" w:themeColor="text1"/>
              <w:sz w:val="24"/>
              <w:szCs w:val="24"/>
              <w:bdr w:val="nil"/>
              <w:lang w:val="es-ES"/>
            </w:rPr>
            <w:fldChar w:fldCharType="end"/>
          </w:r>
        </w:p>
        <w:p w:rsidR="000150BA" w:rsidRDefault="000150BA" w:rsidP="000150BA">
          <w:pPr>
            <w:pStyle w:val="Sinespaciado"/>
            <w:rPr>
              <w:color w:val="000000" w:themeColor="text1"/>
              <w:bdr w:val="nil"/>
            </w:rPr>
          </w:pPr>
        </w:p>
        <w:p w:rsidR="000150BA" w:rsidRDefault="000150BA" w:rsidP="000150BA">
          <w:pPr>
            <w:pStyle w:val="Sinespaciado"/>
            <w:rPr>
              <w:color w:val="000000" w:themeColor="text1"/>
              <w:bdr w:val="nil"/>
            </w:rPr>
          </w:pPr>
        </w:p>
        <w:p w:rsidR="000150BA" w:rsidRDefault="000150BA" w:rsidP="000150BA">
          <w:pPr>
            <w:pStyle w:val="Sinespaciado"/>
            <w:rPr>
              <w:color w:val="000000" w:themeColor="text1"/>
              <w:bdr w:val="nil"/>
            </w:rPr>
          </w:pPr>
        </w:p>
        <w:p w:rsidR="000150BA" w:rsidRDefault="000150BA" w:rsidP="000150BA">
          <w:pPr>
            <w:pStyle w:val="Sinespaciado"/>
            <w:rPr>
              <w:color w:val="000000" w:themeColor="text1"/>
              <w:bdr w:val="nil"/>
            </w:rPr>
          </w:pPr>
        </w:p>
        <w:p w:rsidR="000150BA" w:rsidRPr="000150BA" w:rsidRDefault="002A4F65" w:rsidP="000150BA">
          <w:pPr>
            <w:pStyle w:val="Sinespaciado"/>
            <w:rPr>
              <w:color w:val="000000" w:themeColor="text1"/>
              <w:bdr w:val="nil"/>
            </w:rPr>
          </w:pPr>
        </w:p>
      </w:sdtContent>
    </w:sdt>
    <w:p w:rsidR="002C0425" w:rsidRPr="002A43BC" w:rsidRDefault="002C0425" w:rsidP="002A43B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bookmarkStart w:id="1" w:name="_Toc3911799"/>
      <w:r w:rsidRPr="002A43BC">
        <w:rPr>
          <w:rFonts w:ascii="Palatino Linotype" w:eastAsiaTheme="majorEastAsia" w:hAnsi="Palatino Linotype" w:cstheme="majorBidi"/>
          <w:b/>
          <w:sz w:val="24"/>
          <w:szCs w:val="24"/>
          <w:bdr w:val="nil"/>
        </w:rPr>
        <w:t>Consideraciones Generales</w:t>
      </w:r>
      <w:r w:rsidR="00311B32" w:rsidRPr="002A43BC">
        <w:rPr>
          <w:rFonts w:ascii="Palatino Linotype" w:eastAsiaTheme="majorEastAsia" w:hAnsi="Palatino Linotype" w:cstheme="majorBidi"/>
          <w:b/>
          <w:sz w:val="24"/>
          <w:szCs w:val="24"/>
          <w:bdr w:val="nil"/>
        </w:rPr>
        <w:t>.</w:t>
      </w:r>
      <w:bookmarkEnd w:id="1"/>
    </w:p>
    <w:p w:rsidR="00147149" w:rsidRPr="002A43BC" w:rsidRDefault="00147149" w:rsidP="002A43BC">
      <w:pPr>
        <w:pBdr>
          <w:top w:val="nil"/>
          <w:left w:val="nil"/>
          <w:bottom w:val="nil"/>
          <w:right w:val="nil"/>
          <w:between w:val="nil"/>
          <w:bar w:val="nil"/>
        </w:pBdr>
        <w:spacing w:after="0" w:line="360" w:lineRule="auto"/>
        <w:contextualSpacing/>
        <w:jc w:val="both"/>
        <w:rPr>
          <w:rFonts w:ascii="Palatino Linotype" w:hAnsi="Palatino Linotype" w:cs="Arial"/>
          <w:color w:val="000000" w:themeColor="text1"/>
          <w:sz w:val="24"/>
          <w:szCs w:val="24"/>
          <w:bdr w:val="nil"/>
        </w:rPr>
      </w:pPr>
    </w:p>
    <w:p w:rsidR="002C0425" w:rsidRPr="0090379C" w:rsidRDefault="002C0425" w:rsidP="0090379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hAnsi="Palatino Linotype" w:cs="Arial"/>
          <w:color w:val="000000" w:themeColor="text1"/>
          <w:sz w:val="24"/>
          <w:szCs w:val="24"/>
          <w:bdr w:val="nil"/>
        </w:rPr>
      </w:pPr>
      <w:r w:rsidRPr="002A43BC">
        <w:rPr>
          <w:rFonts w:ascii="Palatino Linotype" w:eastAsia="Times New Roman" w:hAnsi="Palatino Linotype" w:cs="Arial"/>
          <w:color w:val="000000" w:themeColor="text1"/>
          <w:sz w:val="24"/>
          <w:szCs w:val="24"/>
          <w:bdr w:val="nil"/>
          <w:lang w:val="es-ES_tradnl"/>
        </w:rPr>
        <w:t xml:space="preserve">He concurrido con mi voto disidente de la presente resolución emitida </w:t>
      </w:r>
      <w:r w:rsidRPr="002A43BC">
        <w:rPr>
          <w:rFonts w:ascii="Palatino Linotype" w:eastAsia="Arial Unicode MS" w:hAnsi="Palatino Linotype" w:cs="Arial"/>
          <w:color w:val="000000" w:themeColor="text1"/>
          <w:sz w:val="24"/>
          <w:szCs w:val="24"/>
          <w:bdr w:val="nil"/>
        </w:rPr>
        <w:t xml:space="preserve">por el Pleno del Instituto de Transparencia, Acceso a la Información Pública y Protección de Datos Personales del Estado de México y Municipios, en su </w:t>
      </w:r>
      <w:r w:rsidR="0090379C">
        <w:rPr>
          <w:rFonts w:ascii="Palatino Linotype" w:eastAsia="Arial Unicode MS" w:hAnsi="Palatino Linotype" w:cs="Arial"/>
          <w:color w:val="000000" w:themeColor="text1"/>
          <w:sz w:val="24"/>
          <w:szCs w:val="24"/>
          <w:bdr w:val="nil"/>
        </w:rPr>
        <w:t>Décima</w:t>
      </w:r>
      <w:r w:rsidRPr="002A43BC">
        <w:rPr>
          <w:rFonts w:ascii="Palatino Linotype" w:eastAsia="Arial Unicode MS" w:hAnsi="Palatino Linotype" w:cs="Arial"/>
          <w:color w:val="000000" w:themeColor="text1"/>
          <w:sz w:val="24"/>
          <w:szCs w:val="24"/>
          <w:bdr w:val="nil"/>
        </w:rPr>
        <w:t xml:space="preserve"> Sesión Ordinaria de fecha </w:t>
      </w:r>
      <w:r w:rsidR="0090379C">
        <w:rPr>
          <w:rFonts w:ascii="Palatino Linotype" w:eastAsia="Arial Unicode MS" w:hAnsi="Palatino Linotype" w:cs="Arial"/>
          <w:color w:val="000000" w:themeColor="text1"/>
          <w:sz w:val="24"/>
          <w:szCs w:val="24"/>
          <w:bdr w:val="nil"/>
        </w:rPr>
        <w:t>trece</w:t>
      </w:r>
      <w:r w:rsidRPr="002A43BC">
        <w:rPr>
          <w:rFonts w:ascii="Palatino Linotype" w:eastAsia="Times New Roman" w:hAnsi="Palatino Linotype" w:cs="Arial"/>
          <w:color w:val="000000"/>
          <w:sz w:val="24"/>
          <w:szCs w:val="24"/>
          <w:bdr w:val="nil"/>
          <w:lang w:eastAsia="es-MX"/>
        </w:rPr>
        <w:t xml:space="preserve"> (</w:t>
      </w:r>
      <w:r w:rsidR="0090379C">
        <w:rPr>
          <w:rFonts w:ascii="Palatino Linotype" w:eastAsia="Times New Roman" w:hAnsi="Palatino Linotype" w:cs="Arial"/>
          <w:color w:val="000000"/>
          <w:sz w:val="24"/>
          <w:szCs w:val="24"/>
          <w:bdr w:val="nil"/>
          <w:lang w:eastAsia="es-MX"/>
        </w:rPr>
        <w:t>13</w:t>
      </w:r>
      <w:r w:rsidRPr="002A43BC">
        <w:rPr>
          <w:rFonts w:ascii="Palatino Linotype" w:eastAsia="Times New Roman" w:hAnsi="Palatino Linotype" w:cs="Arial"/>
          <w:color w:val="000000"/>
          <w:sz w:val="24"/>
          <w:szCs w:val="24"/>
          <w:bdr w:val="nil"/>
          <w:lang w:eastAsia="es-MX"/>
        </w:rPr>
        <w:t xml:space="preserve">) de </w:t>
      </w:r>
      <w:r w:rsidR="0090379C">
        <w:rPr>
          <w:rFonts w:ascii="Palatino Linotype" w:eastAsia="Times New Roman" w:hAnsi="Palatino Linotype" w:cs="Arial"/>
          <w:color w:val="000000"/>
          <w:sz w:val="24"/>
          <w:szCs w:val="24"/>
          <w:bdr w:val="nil"/>
          <w:lang w:eastAsia="es-MX"/>
        </w:rPr>
        <w:t>marzo de dos mil diecinueve</w:t>
      </w:r>
      <w:r w:rsidR="002B3F42">
        <w:rPr>
          <w:rFonts w:ascii="Palatino Linotype" w:eastAsia="Arial Unicode MS" w:hAnsi="Palatino Linotype" w:cs="Arial"/>
          <w:color w:val="000000" w:themeColor="text1"/>
          <w:sz w:val="24"/>
          <w:szCs w:val="24"/>
          <w:bdr w:val="nil"/>
        </w:rPr>
        <w:t>, en el recurso de revisión</w:t>
      </w:r>
      <w:r w:rsidR="00895986" w:rsidRPr="002A43BC">
        <w:rPr>
          <w:rFonts w:ascii="Palatino Linotype" w:eastAsia="Times New Roman" w:hAnsi="Palatino Linotype" w:cs="Arial"/>
          <w:b/>
          <w:sz w:val="24"/>
          <w:szCs w:val="24"/>
          <w:lang w:val="es-ES" w:eastAsia="es-ES"/>
        </w:rPr>
        <w:t xml:space="preserve"> </w:t>
      </w:r>
      <w:r w:rsidRPr="002A43BC">
        <w:rPr>
          <w:rFonts w:ascii="Palatino Linotype" w:eastAsia="Arial Unicode MS" w:hAnsi="Palatino Linotype" w:cs="Times New Roman"/>
          <w:sz w:val="24"/>
          <w:szCs w:val="24"/>
          <w:bdr w:val="nil"/>
        </w:rPr>
        <w:t>en contra de</w:t>
      </w:r>
      <w:r w:rsidR="00895986" w:rsidRPr="002A43BC">
        <w:rPr>
          <w:rFonts w:ascii="Palatino Linotype" w:eastAsia="Arial Unicode MS" w:hAnsi="Palatino Linotype" w:cs="Times New Roman"/>
          <w:sz w:val="24"/>
          <w:szCs w:val="24"/>
          <w:bdr w:val="nil"/>
        </w:rPr>
        <w:t xml:space="preserve"> </w:t>
      </w:r>
      <w:r w:rsidRPr="002A43BC">
        <w:rPr>
          <w:rFonts w:ascii="Palatino Linotype" w:eastAsia="Arial Unicode MS" w:hAnsi="Palatino Linotype" w:cs="Times New Roman"/>
          <w:sz w:val="24"/>
          <w:szCs w:val="24"/>
          <w:bdr w:val="nil"/>
        </w:rPr>
        <w:t>l</w:t>
      </w:r>
      <w:r w:rsidR="00895986" w:rsidRPr="002A43BC">
        <w:rPr>
          <w:rFonts w:ascii="Palatino Linotype" w:eastAsia="Arial Unicode MS" w:hAnsi="Palatino Linotype" w:cs="Times New Roman"/>
          <w:sz w:val="24"/>
          <w:szCs w:val="24"/>
          <w:bdr w:val="nil"/>
        </w:rPr>
        <w:t>a</w:t>
      </w:r>
      <w:r w:rsidRPr="002A43BC">
        <w:rPr>
          <w:rFonts w:ascii="Palatino Linotype" w:eastAsia="Arial Unicode MS" w:hAnsi="Palatino Linotype" w:cs="Times New Roman"/>
          <w:sz w:val="24"/>
          <w:szCs w:val="24"/>
          <w:bdr w:val="nil"/>
        </w:rPr>
        <w:t xml:space="preserve"> </w:t>
      </w:r>
      <w:r w:rsidR="0090379C">
        <w:rPr>
          <w:rFonts w:ascii="Palatino Linotype" w:eastAsia="Times New Roman" w:hAnsi="Palatino Linotype" w:cs="Times New Roman"/>
          <w:b/>
          <w:sz w:val="24"/>
          <w:szCs w:val="24"/>
          <w:lang w:eastAsia="es-ES"/>
        </w:rPr>
        <w:t>Agrupación de Trabajadores Académicos al Servicio del Colegio de Estudios Científicos y Tecnológicos del Estado de México</w:t>
      </w:r>
      <w:r w:rsidRPr="002A43BC">
        <w:rPr>
          <w:rFonts w:ascii="Palatino Linotype" w:eastAsia="Arial Unicode MS" w:hAnsi="Palatino Linotype" w:cs="Arial"/>
          <w:color w:val="000000" w:themeColor="text1"/>
          <w:sz w:val="24"/>
          <w:szCs w:val="24"/>
          <w:bdr w:val="nil"/>
        </w:rPr>
        <w:t xml:space="preserve"> procedimiento al que se le asignó el número de expediente </w:t>
      </w:r>
      <w:r w:rsidR="002B3F42">
        <w:rPr>
          <w:rFonts w:ascii="Palatino Linotype" w:eastAsia="Arial Unicode MS" w:hAnsi="Palatino Linotype" w:cs="Times New Roman"/>
          <w:b/>
          <w:sz w:val="24"/>
          <w:szCs w:val="24"/>
          <w:bdr w:val="nil"/>
        </w:rPr>
        <w:t>00107</w:t>
      </w:r>
      <w:r w:rsidR="0090379C">
        <w:rPr>
          <w:rFonts w:ascii="Palatino Linotype" w:eastAsia="Arial Unicode MS" w:hAnsi="Palatino Linotype" w:cs="Times New Roman"/>
          <w:b/>
          <w:sz w:val="24"/>
          <w:szCs w:val="24"/>
          <w:bdr w:val="nil"/>
        </w:rPr>
        <w:t>/INFOEM/IP/RR/201</w:t>
      </w:r>
      <w:r w:rsidR="0090379C" w:rsidRPr="0090379C">
        <w:rPr>
          <w:rFonts w:ascii="Palatino Linotype" w:eastAsia="Arial Unicode MS" w:hAnsi="Palatino Linotype" w:cs="Times New Roman"/>
          <w:b/>
          <w:sz w:val="24"/>
          <w:szCs w:val="24"/>
          <w:bdr w:val="nil"/>
        </w:rPr>
        <w:t>9</w:t>
      </w:r>
      <w:r w:rsidRPr="0090379C">
        <w:rPr>
          <w:rFonts w:ascii="Palatino Linotype" w:eastAsia="Times New Roman" w:hAnsi="Palatino Linotype" w:cs="Arial"/>
          <w:b/>
          <w:bCs/>
          <w:color w:val="000000" w:themeColor="text1"/>
          <w:sz w:val="24"/>
          <w:szCs w:val="24"/>
          <w:bdr w:val="nil"/>
          <w:lang w:eastAsia="es-ES"/>
        </w:rPr>
        <w:t>.</w:t>
      </w:r>
    </w:p>
    <w:p w:rsidR="002C0425" w:rsidRPr="002A43BC" w:rsidRDefault="002C0425"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Arial"/>
          <w:color w:val="000000" w:themeColor="text1"/>
          <w:sz w:val="24"/>
          <w:szCs w:val="24"/>
          <w:bdr w:val="nil"/>
        </w:rPr>
      </w:pPr>
    </w:p>
    <w:p w:rsidR="001C621B" w:rsidRPr="001C621B" w:rsidRDefault="002C0425" w:rsidP="001C621B">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eastAsia="Arial Unicode MS" w:hAnsi="Palatino Linotype" w:cs="Arial"/>
          <w:color w:val="000000" w:themeColor="text1"/>
          <w:sz w:val="24"/>
          <w:szCs w:val="24"/>
          <w:bdr w:val="nil"/>
        </w:rPr>
      </w:pPr>
      <w:r w:rsidRPr="005001CF">
        <w:rPr>
          <w:rFonts w:ascii="Palatino Linotype" w:eastAsia="Arial Unicode MS" w:hAnsi="Palatino Linotype" w:cs="Arial"/>
          <w:color w:val="000000" w:themeColor="text1"/>
          <w:sz w:val="24"/>
          <w:szCs w:val="24"/>
          <w:bdr w:val="nil"/>
        </w:rPr>
        <w:t xml:space="preserve">La resolución señala que es procedente </w:t>
      </w:r>
      <w:r w:rsidR="002B3F42">
        <w:rPr>
          <w:rFonts w:ascii="Palatino Linotype" w:eastAsia="Times New Roman" w:hAnsi="Palatino Linotype" w:cs="Arial"/>
          <w:b/>
          <w:sz w:val="24"/>
          <w:szCs w:val="24"/>
          <w:bdr w:val="nil"/>
        </w:rPr>
        <w:t xml:space="preserve">ORDENAR </w:t>
      </w:r>
      <w:r w:rsidR="002B3F42" w:rsidRPr="002B3F42">
        <w:rPr>
          <w:rFonts w:ascii="Palatino Linotype" w:eastAsia="Times New Roman" w:hAnsi="Palatino Linotype" w:cs="Arial"/>
          <w:sz w:val="24"/>
          <w:szCs w:val="24"/>
          <w:bdr w:val="nil"/>
        </w:rPr>
        <w:t>la entrega de</w:t>
      </w:r>
      <w:r w:rsidR="002B3F42">
        <w:rPr>
          <w:rFonts w:ascii="Palatino Linotype" w:eastAsia="Times New Roman" w:hAnsi="Palatino Linotype" w:cs="Arial"/>
          <w:sz w:val="24"/>
          <w:szCs w:val="24"/>
          <w:bdr w:val="nil"/>
        </w:rPr>
        <w:t>l Acuerdo de la Clasificación de la información</w:t>
      </w:r>
      <w:r w:rsidR="002B3F42">
        <w:rPr>
          <w:rFonts w:ascii="Palatino Linotype" w:eastAsia="Times New Roman" w:hAnsi="Palatino Linotype" w:cs="Arial"/>
          <w:b/>
          <w:sz w:val="24"/>
          <w:szCs w:val="24"/>
          <w:bdr w:val="nil"/>
        </w:rPr>
        <w:t xml:space="preserve"> </w:t>
      </w:r>
      <w:r w:rsidR="001C621B">
        <w:rPr>
          <w:rFonts w:ascii="Palatino Linotype" w:eastAsia="Times New Roman" w:hAnsi="Palatino Linotype" w:cs="Arial"/>
          <w:sz w:val="24"/>
          <w:szCs w:val="24"/>
          <w:bdr w:val="nil"/>
        </w:rPr>
        <w:t xml:space="preserve">como confidencial; </w:t>
      </w:r>
      <w:r w:rsidR="00895986" w:rsidRPr="001C621B">
        <w:rPr>
          <w:rFonts w:ascii="Palatino Linotype" w:hAnsi="Palatino Linotype" w:cs="Arial"/>
          <w:sz w:val="24"/>
          <w:szCs w:val="24"/>
        </w:rPr>
        <w:t>sin embargo, mi voto se deriva del hecho de que</w:t>
      </w:r>
      <w:r w:rsidR="00C2473C" w:rsidRPr="001C621B">
        <w:rPr>
          <w:rFonts w:ascii="Palatino Linotype" w:hAnsi="Palatino Linotype" w:cs="Arial"/>
          <w:sz w:val="24"/>
          <w:szCs w:val="24"/>
        </w:rPr>
        <w:t xml:space="preserve"> la ponente consideró que </w:t>
      </w:r>
      <w:r w:rsidR="001C621B">
        <w:rPr>
          <w:rFonts w:ascii="Palatino Linotype" w:hAnsi="Palatino Linotype" w:cs="Arial"/>
          <w:sz w:val="24"/>
          <w:szCs w:val="24"/>
        </w:rPr>
        <w:t xml:space="preserve">la información requerida no corresponde a información que deba ser transparentada por el Sujeto Obligado, en razón de que no </w:t>
      </w:r>
      <w:r w:rsidR="001C621B">
        <w:rPr>
          <w:rFonts w:ascii="Palatino Linotype" w:eastAsia="Times New Roman" w:hAnsi="Palatino Linotype" w:cs="Times New Roman"/>
          <w:sz w:val="24"/>
          <w:szCs w:val="24"/>
          <w:lang w:val="es-ES" w:eastAsia="es-ES"/>
        </w:rPr>
        <w:t>constituye</w:t>
      </w:r>
      <w:r w:rsidR="001C621B" w:rsidRPr="001C621B">
        <w:rPr>
          <w:rFonts w:ascii="Palatino Linotype" w:eastAsia="Times New Roman" w:hAnsi="Palatino Linotype" w:cs="Times New Roman"/>
          <w:sz w:val="24"/>
          <w:szCs w:val="24"/>
          <w:lang w:val="es-ES" w:eastAsia="es-ES"/>
        </w:rPr>
        <w:t xml:space="preserve"> el ejercicio de recursos públicos o la realización de un acto de autoridad</w:t>
      </w:r>
      <w:r w:rsidR="001C621B">
        <w:rPr>
          <w:rFonts w:ascii="Palatino Linotype" w:eastAsia="Times New Roman" w:hAnsi="Palatino Linotype" w:cs="Times New Roman"/>
          <w:sz w:val="24"/>
          <w:szCs w:val="24"/>
          <w:lang w:val="es-ES" w:eastAsia="es-ES"/>
        </w:rPr>
        <w:t>.</w:t>
      </w:r>
    </w:p>
    <w:p w:rsidR="001C621B" w:rsidRDefault="001C621B" w:rsidP="001C621B">
      <w:pPr>
        <w:pStyle w:val="Prrafodelista"/>
        <w:rPr>
          <w:rFonts w:ascii="Palatino Linotype" w:hAnsi="Palatino Linotype" w:cs="Arial"/>
          <w:sz w:val="24"/>
          <w:szCs w:val="24"/>
        </w:rPr>
      </w:pPr>
    </w:p>
    <w:p w:rsidR="00414282" w:rsidRPr="00414282" w:rsidRDefault="00C2473C" w:rsidP="00414282">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Times New Roman"/>
          <w:sz w:val="24"/>
          <w:szCs w:val="24"/>
          <w:bdr w:val="nil"/>
        </w:rPr>
      </w:pPr>
      <w:r>
        <w:rPr>
          <w:rFonts w:ascii="Palatino Linotype" w:eastAsia="Arial Unicode MS" w:hAnsi="Palatino Linotype" w:cs="Arial"/>
          <w:color w:val="000000" w:themeColor="text1"/>
          <w:sz w:val="24"/>
          <w:szCs w:val="24"/>
          <w:bdr w:val="nil"/>
        </w:rPr>
        <w:t xml:space="preserve">Mi voto disidente concurre por haberse considerado </w:t>
      </w:r>
      <w:r w:rsidR="00E42F7C">
        <w:rPr>
          <w:rFonts w:ascii="Palatino Linotype" w:eastAsia="Arial Unicode MS" w:hAnsi="Palatino Linotype" w:cs="Arial"/>
          <w:color w:val="000000" w:themeColor="text1"/>
          <w:sz w:val="24"/>
          <w:szCs w:val="24"/>
          <w:bdr w:val="nil"/>
        </w:rPr>
        <w:t xml:space="preserve">que la </w:t>
      </w:r>
      <w:r w:rsidR="001C621B">
        <w:rPr>
          <w:rFonts w:ascii="Palatino Linotype" w:eastAsia="Arial Unicode MS" w:hAnsi="Palatino Linotype" w:cs="Arial"/>
          <w:color w:val="000000" w:themeColor="text1"/>
          <w:sz w:val="24"/>
          <w:szCs w:val="24"/>
          <w:bdr w:val="nil"/>
        </w:rPr>
        <w:t xml:space="preserve">información correspondientes a </w:t>
      </w:r>
      <w:r w:rsidR="00414282">
        <w:rPr>
          <w:rFonts w:ascii="Palatino Linotype" w:eastAsia="Times New Roman" w:hAnsi="Palatino Linotype" w:cs="Times New Roman"/>
          <w:sz w:val="24"/>
          <w:szCs w:val="24"/>
          <w:lang w:val="es-ES" w:eastAsia="es-ES"/>
        </w:rPr>
        <w:t>las mesas de trabajo</w:t>
      </w:r>
      <w:r w:rsidR="001C621B" w:rsidRPr="001C621B">
        <w:rPr>
          <w:rFonts w:ascii="Palatino Linotype" w:eastAsia="Times New Roman" w:hAnsi="Palatino Linotype" w:cs="Times New Roman"/>
          <w:sz w:val="24"/>
          <w:szCs w:val="24"/>
          <w:lang w:val="es-ES" w:eastAsia="es-ES"/>
        </w:rPr>
        <w:t xml:space="preserve"> no se relacionan con recursos públicos; sino más bien con la solución de problemas y propuestas de mejora, que atañen intrínsecamente al actuar interno </w:t>
      </w:r>
      <w:r w:rsidR="00414282">
        <w:rPr>
          <w:rFonts w:ascii="Palatino Linotype" w:eastAsia="Times New Roman" w:hAnsi="Palatino Linotype" w:cs="Times New Roman"/>
          <w:sz w:val="24"/>
          <w:szCs w:val="24"/>
          <w:lang w:val="es-ES" w:eastAsia="es-ES"/>
        </w:rPr>
        <w:t>de la agrupación de trabajadores</w:t>
      </w:r>
      <w:r w:rsidR="00E42F7C" w:rsidRPr="00414282">
        <w:rPr>
          <w:rFonts w:ascii="Palatino Linotype" w:eastAsia="Arial Unicode MS" w:hAnsi="Palatino Linotype" w:cs="Arial"/>
          <w:color w:val="000000" w:themeColor="text1"/>
          <w:sz w:val="24"/>
          <w:szCs w:val="24"/>
          <w:bdr w:val="nil"/>
        </w:rPr>
        <w:t xml:space="preserve">, no deberá estar sujeta al escrutinio público, pues </w:t>
      </w:r>
      <w:r w:rsidR="00414282">
        <w:rPr>
          <w:rFonts w:ascii="Palatino Linotype" w:eastAsia="Arial Unicode MS" w:hAnsi="Palatino Linotype" w:cs="Arial"/>
          <w:color w:val="000000" w:themeColor="text1"/>
          <w:sz w:val="24"/>
          <w:szCs w:val="24"/>
          <w:bdr w:val="nil"/>
        </w:rPr>
        <w:t xml:space="preserve">no </w:t>
      </w:r>
      <w:r w:rsidR="00414282">
        <w:rPr>
          <w:rFonts w:ascii="Palatino Linotype" w:eastAsia="Times New Roman" w:hAnsi="Palatino Linotype" w:cs="Times New Roman"/>
          <w:sz w:val="24"/>
          <w:szCs w:val="24"/>
          <w:lang w:val="es-ES" w:eastAsia="es-ES"/>
        </w:rPr>
        <w:t>constituye</w:t>
      </w:r>
      <w:r w:rsidR="00414282" w:rsidRPr="00414282">
        <w:rPr>
          <w:rFonts w:ascii="Palatino Linotype" w:eastAsia="Times New Roman" w:hAnsi="Palatino Linotype" w:cs="Times New Roman"/>
          <w:sz w:val="24"/>
          <w:szCs w:val="24"/>
          <w:lang w:val="es-ES" w:eastAsia="es-ES"/>
        </w:rPr>
        <w:t xml:space="preserve"> el ejercicio de recursos públicos o la realización de un acto de autoridad</w:t>
      </w:r>
    </w:p>
    <w:p w:rsidR="00414282" w:rsidRDefault="00414282" w:rsidP="00414282">
      <w:pPr>
        <w:pStyle w:val="Prrafodelista"/>
        <w:rPr>
          <w:rFonts w:ascii="Palatino Linotype" w:eastAsia="Arial Unicode MS" w:hAnsi="Palatino Linotype" w:cs="Arial"/>
          <w:color w:val="000000" w:themeColor="text1"/>
          <w:sz w:val="24"/>
          <w:szCs w:val="24"/>
          <w:bdr w:val="nil"/>
        </w:rPr>
      </w:pPr>
    </w:p>
    <w:p w:rsidR="002C0425" w:rsidRPr="002A43BC" w:rsidRDefault="002C0425"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color w:val="000000" w:themeColor="text1"/>
          <w:sz w:val="24"/>
          <w:szCs w:val="24"/>
          <w:bdr w:val="nil"/>
        </w:rPr>
      </w:pPr>
      <w:r w:rsidRPr="002A43BC">
        <w:rPr>
          <w:rFonts w:ascii="Palatino Linotype" w:eastAsia="Arial Unicode MS" w:hAnsi="Palatino Linotype" w:cs="Arial"/>
          <w:color w:val="000000" w:themeColor="text1"/>
          <w:sz w:val="24"/>
          <w:szCs w:val="24"/>
          <w:bdr w:val="nil"/>
        </w:rPr>
        <w:t xml:space="preserve">Por tal motivo y en términos de lo señalado por el artículo 14 fracción XI del Reglamento Interior del Instituto de Transparencia y Acceso a la Información Pública del Estado de México y Municipios formulo el presente voto disidente. </w:t>
      </w:r>
    </w:p>
    <w:p w:rsidR="00311B32" w:rsidRPr="002A43BC" w:rsidRDefault="00311B32" w:rsidP="002A43BC">
      <w:pPr>
        <w:pBdr>
          <w:top w:val="nil"/>
          <w:left w:val="nil"/>
          <w:bottom w:val="nil"/>
          <w:right w:val="nil"/>
          <w:between w:val="nil"/>
          <w:bar w:val="nil"/>
        </w:pBdr>
        <w:spacing w:after="0" w:line="360" w:lineRule="auto"/>
        <w:contextualSpacing/>
        <w:jc w:val="both"/>
        <w:rPr>
          <w:rFonts w:ascii="Palatino Linotype" w:eastAsia="Arial Unicode MS" w:hAnsi="Palatino Linotype" w:cs="Arial"/>
          <w:color w:val="000000" w:themeColor="text1"/>
          <w:sz w:val="24"/>
          <w:szCs w:val="24"/>
          <w:bdr w:val="nil"/>
        </w:rPr>
      </w:pPr>
    </w:p>
    <w:p w:rsidR="002C0425" w:rsidRDefault="002C0425" w:rsidP="002A43BC">
      <w:pPr>
        <w:keepNext/>
        <w:keepLines/>
        <w:numPr>
          <w:ilvl w:val="0"/>
          <w:numId w:val="2"/>
        </w:numPr>
        <w:pBdr>
          <w:top w:val="nil"/>
          <w:left w:val="nil"/>
          <w:bottom w:val="nil"/>
          <w:right w:val="nil"/>
          <w:between w:val="nil"/>
          <w:bar w:val="nil"/>
        </w:pBdr>
        <w:spacing w:after="0" w:line="360" w:lineRule="auto"/>
        <w:ind w:left="0" w:firstLine="0"/>
        <w:outlineLvl w:val="0"/>
        <w:rPr>
          <w:rFonts w:ascii="Palatino Linotype" w:eastAsiaTheme="majorEastAsia" w:hAnsi="Palatino Linotype" w:cstheme="majorBidi"/>
          <w:b/>
          <w:sz w:val="24"/>
          <w:szCs w:val="24"/>
          <w:bdr w:val="nil"/>
        </w:rPr>
      </w:pPr>
      <w:bookmarkStart w:id="2" w:name="_Toc3911800"/>
      <w:r w:rsidRPr="002A43BC">
        <w:rPr>
          <w:rFonts w:ascii="Palatino Linotype" w:eastAsiaTheme="majorEastAsia" w:hAnsi="Palatino Linotype" w:cstheme="majorBidi"/>
          <w:b/>
          <w:sz w:val="24"/>
          <w:szCs w:val="24"/>
          <w:bdr w:val="nil"/>
        </w:rPr>
        <w:lastRenderedPageBreak/>
        <w:t>De los requerimientos planteados en el recurso de revisión.</w:t>
      </w:r>
      <w:bookmarkEnd w:id="2"/>
    </w:p>
    <w:p w:rsidR="00E42F7C" w:rsidRPr="002A43BC" w:rsidRDefault="00E42F7C" w:rsidP="00E42F7C">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sz w:val="24"/>
          <w:szCs w:val="24"/>
          <w:bdr w:val="nil"/>
        </w:rPr>
      </w:pPr>
    </w:p>
    <w:p w:rsidR="00414282" w:rsidRPr="00E42F7C" w:rsidRDefault="004B46C5" w:rsidP="00414282">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hAnsi="Palatino Linotype" w:cs="Arial"/>
          <w:i/>
          <w:sz w:val="24"/>
          <w:szCs w:val="24"/>
          <w:lang w:eastAsia="es-MX"/>
        </w:rPr>
      </w:pPr>
      <w:r w:rsidRPr="002A43BC">
        <w:rPr>
          <w:rFonts w:ascii="Palatino Linotype" w:eastAsia="Arial Unicode MS" w:hAnsi="Palatino Linotype" w:cs="Arial"/>
          <w:color w:val="000000" w:themeColor="text1"/>
          <w:sz w:val="24"/>
          <w:szCs w:val="24"/>
          <w:bdr w:val="nil"/>
        </w:rPr>
        <w:t>M</w:t>
      </w:r>
      <w:r w:rsidR="002C0425" w:rsidRPr="002A43BC">
        <w:rPr>
          <w:rFonts w:ascii="Palatino Linotype" w:eastAsia="Arial Unicode MS" w:hAnsi="Palatino Linotype" w:cs="Arial"/>
          <w:color w:val="000000" w:themeColor="text1"/>
          <w:sz w:val="24"/>
          <w:szCs w:val="24"/>
          <w:bdr w:val="nil"/>
        </w:rPr>
        <w:t xml:space="preserve">ediante la solicitud de acceso a la información </w:t>
      </w:r>
      <w:r w:rsidRPr="002A43BC">
        <w:rPr>
          <w:rFonts w:ascii="Palatino Linotype" w:eastAsia="Arial Unicode MS" w:hAnsi="Palatino Linotype" w:cs="Arial"/>
          <w:color w:val="000000" w:themeColor="text1"/>
          <w:sz w:val="24"/>
          <w:szCs w:val="24"/>
          <w:bdr w:val="nil"/>
        </w:rPr>
        <w:t xml:space="preserve">número </w:t>
      </w:r>
      <w:r w:rsidR="00414282">
        <w:rPr>
          <w:rFonts w:ascii="Palatino Linotype" w:eastAsia="Arial Unicode MS" w:hAnsi="Palatino Linotype" w:cs="Arial"/>
          <w:b/>
          <w:sz w:val="24"/>
          <w:szCs w:val="24"/>
          <w:bdr w:val="nil"/>
        </w:rPr>
        <w:t>00034</w:t>
      </w:r>
      <w:r w:rsidR="00032496" w:rsidRPr="002A43BC">
        <w:rPr>
          <w:rFonts w:ascii="Palatino Linotype" w:eastAsia="Arial Unicode MS" w:hAnsi="Palatino Linotype" w:cs="Arial"/>
          <w:b/>
          <w:sz w:val="24"/>
          <w:szCs w:val="24"/>
          <w:bdr w:val="nil"/>
        </w:rPr>
        <w:t>/</w:t>
      </w:r>
      <w:r w:rsidR="00E42F7C">
        <w:rPr>
          <w:rFonts w:ascii="Palatino Linotype" w:eastAsia="Arial Unicode MS" w:hAnsi="Palatino Linotype" w:cs="Arial"/>
          <w:b/>
          <w:sz w:val="24"/>
          <w:szCs w:val="24"/>
          <w:bdr w:val="nil"/>
        </w:rPr>
        <w:t>ATASCECYTEM</w:t>
      </w:r>
      <w:r w:rsidRPr="002A43BC">
        <w:rPr>
          <w:rFonts w:ascii="Palatino Linotype" w:eastAsia="Arial Unicode MS" w:hAnsi="Palatino Linotype" w:cs="Arial"/>
          <w:b/>
          <w:sz w:val="24"/>
          <w:szCs w:val="24"/>
          <w:bdr w:val="nil"/>
        </w:rPr>
        <w:t>/IP/2018</w:t>
      </w:r>
      <w:r w:rsidRPr="002A43BC">
        <w:rPr>
          <w:rFonts w:ascii="Palatino Linotype" w:eastAsia="Times New Roman" w:hAnsi="Palatino Linotype" w:cs="Times New Roman"/>
          <w:b/>
          <w:sz w:val="24"/>
          <w:szCs w:val="24"/>
          <w:lang w:eastAsia="es-ES"/>
        </w:rPr>
        <w:t xml:space="preserve"> </w:t>
      </w:r>
      <w:r w:rsidR="00E42F7C" w:rsidRPr="00E42F7C">
        <w:rPr>
          <w:rFonts w:ascii="Palatino Linotype" w:eastAsia="Times New Roman" w:hAnsi="Palatino Linotype" w:cs="Times New Roman"/>
          <w:sz w:val="24"/>
          <w:szCs w:val="24"/>
          <w:lang w:eastAsia="es-ES"/>
        </w:rPr>
        <w:t>la</w:t>
      </w:r>
      <w:r w:rsidR="00E42F7C">
        <w:rPr>
          <w:rFonts w:ascii="Palatino Linotype" w:eastAsia="Times New Roman" w:hAnsi="Palatino Linotype" w:cs="Times New Roman"/>
          <w:b/>
          <w:sz w:val="24"/>
          <w:szCs w:val="24"/>
          <w:lang w:eastAsia="es-ES"/>
        </w:rPr>
        <w:t xml:space="preserve"> particular</w:t>
      </w:r>
      <w:r w:rsidR="00032496" w:rsidRPr="002A43BC">
        <w:rPr>
          <w:rFonts w:ascii="Palatino Linotype" w:eastAsia="Arial Unicode MS" w:hAnsi="Palatino Linotype" w:cs="Arial"/>
          <w:b/>
          <w:sz w:val="24"/>
          <w:szCs w:val="24"/>
          <w:bdr w:val="nil"/>
        </w:rPr>
        <w:t xml:space="preserve"> </w:t>
      </w:r>
      <w:r w:rsidR="002C0425" w:rsidRPr="002A43BC">
        <w:rPr>
          <w:rFonts w:ascii="Palatino Linotype" w:eastAsia="Arial Unicode MS" w:hAnsi="Palatino Linotype" w:cs="Arial"/>
          <w:color w:val="000000" w:themeColor="text1"/>
          <w:sz w:val="24"/>
          <w:szCs w:val="24"/>
          <w:bdr w:val="nil"/>
        </w:rPr>
        <w:t>requirió</w:t>
      </w:r>
      <w:r w:rsidR="002C0425" w:rsidRPr="002A43BC">
        <w:rPr>
          <w:rFonts w:ascii="Palatino Linotype" w:eastAsia="Arial Unicode MS" w:hAnsi="Palatino Linotype" w:cs="Arial"/>
          <w:sz w:val="24"/>
          <w:szCs w:val="24"/>
          <w:bdr w:val="nil"/>
        </w:rPr>
        <w:t xml:space="preserve"> </w:t>
      </w:r>
      <w:r w:rsidR="00032496" w:rsidRPr="002A43BC">
        <w:rPr>
          <w:rFonts w:ascii="Palatino Linotype" w:eastAsia="Arial Unicode MS" w:hAnsi="Palatino Linotype" w:cs="Arial"/>
          <w:sz w:val="24"/>
          <w:szCs w:val="24"/>
          <w:bdr w:val="nil"/>
        </w:rPr>
        <w:t xml:space="preserve">al </w:t>
      </w:r>
      <w:r w:rsidR="002C0425" w:rsidRPr="002A43BC">
        <w:rPr>
          <w:rFonts w:ascii="Palatino Linotype" w:eastAsia="Arial Unicode MS" w:hAnsi="Palatino Linotype" w:cs="Arial"/>
          <w:b/>
          <w:sz w:val="24"/>
          <w:szCs w:val="24"/>
          <w:bdr w:val="nil"/>
        </w:rPr>
        <w:t>SUJETO OBLIGADO</w:t>
      </w:r>
      <w:r w:rsidR="002C0425" w:rsidRPr="002A43BC">
        <w:rPr>
          <w:rFonts w:ascii="Palatino Linotype" w:eastAsia="Arial Unicode MS" w:hAnsi="Palatino Linotype" w:cs="Arial"/>
          <w:sz w:val="24"/>
          <w:szCs w:val="24"/>
          <w:bdr w:val="nil"/>
        </w:rPr>
        <w:t xml:space="preserve"> le proporcionara, vía Sistema de Acc</w:t>
      </w:r>
      <w:r w:rsidR="00032496" w:rsidRPr="002A43BC">
        <w:rPr>
          <w:rFonts w:ascii="Palatino Linotype" w:eastAsia="Arial Unicode MS" w:hAnsi="Palatino Linotype" w:cs="Arial"/>
          <w:sz w:val="24"/>
          <w:szCs w:val="24"/>
          <w:bdr w:val="nil"/>
        </w:rPr>
        <w:t xml:space="preserve">eso a la </w:t>
      </w:r>
      <w:r w:rsidR="00414282">
        <w:rPr>
          <w:rFonts w:ascii="Palatino Linotype" w:eastAsia="Arial Unicode MS" w:hAnsi="Palatino Linotype" w:cs="Arial"/>
          <w:sz w:val="24"/>
          <w:szCs w:val="24"/>
          <w:bdr w:val="nil"/>
        </w:rPr>
        <w:t>información:</w:t>
      </w:r>
    </w:p>
    <w:p w:rsidR="00414282" w:rsidRDefault="00414282" w:rsidP="00414282">
      <w:pPr>
        <w:pBdr>
          <w:top w:val="nil"/>
          <w:left w:val="nil"/>
          <w:bottom w:val="nil"/>
          <w:right w:val="nil"/>
          <w:between w:val="nil"/>
          <w:bar w:val="nil"/>
        </w:pBdr>
        <w:spacing w:after="0" w:line="360" w:lineRule="auto"/>
        <w:ind w:right="49"/>
        <w:contextualSpacing/>
        <w:jc w:val="both"/>
        <w:rPr>
          <w:rFonts w:ascii="Palatino Linotype" w:eastAsia="Arial Unicode MS" w:hAnsi="Palatino Linotype" w:cs="Arial"/>
          <w:color w:val="000000" w:themeColor="text1"/>
          <w:sz w:val="24"/>
          <w:szCs w:val="24"/>
          <w:bdr w:val="nil"/>
        </w:rPr>
      </w:pPr>
    </w:p>
    <w:p w:rsidR="002C0425" w:rsidRDefault="00032496" w:rsidP="00414282">
      <w:pPr>
        <w:numPr>
          <w:ilvl w:val="0"/>
          <w:numId w:val="1"/>
        </w:numPr>
        <w:pBdr>
          <w:top w:val="nil"/>
          <w:left w:val="nil"/>
          <w:bottom w:val="nil"/>
          <w:right w:val="nil"/>
          <w:between w:val="nil"/>
          <w:bar w:val="nil"/>
        </w:pBdr>
        <w:spacing w:after="0" w:line="360" w:lineRule="auto"/>
        <w:ind w:left="0" w:right="49" w:firstLine="0"/>
        <w:contextualSpacing/>
        <w:jc w:val="both"/>
        <w:rPr>
          <w:rFonts w:ascii="Palatino Linotype" w:hAnsi="Palatino Linotype" w:cs="Tahoma"/>
          <w:bCs/>
        </w:rPr>
      </w:pPr>
      <w:r w:rsidRPr="002A43BC">
        <w:rPr>
          <w:rFonts w:ascii="Palatino Linotype" w:eastAsia="Arial Unicode MS" w:hAnsi="Palatino Linotype" w:cs="Arial"/>
          <w:sz w:val="24"/>
          <w:szCs w:val="24"/>
          <w:bdr w:val="nil"/>
        </w:rPr>
        <w:t xml:space="preserve">Información Mexiquense </w:t>
      </w:r>
      <w:r w:rsidR="002C0425" w:rsidRPr="002A43BC">
        <w:rPr>
          <w:rFonts w:ascii="Palatino Linotype" w:eastAsia="Arial Unicode MS" w:hAnsi="Palatino Linotype" w:cs="Arial"/>
          <w:sz w:val="24"/>
          <w:szCs w:val="24"/>
          <w:bdr w:val="nil"/>
        </w:rPr>
        <w:t>(S</w:t>
      </w:r>
      <w:r w:rsidR="00E42F7C">
        <w:rPr>
          <w:rFonts w:ascii="Palatino Linotype" w:eastAsia="Arial Unicode MS" w:hAnsi="Palatino Linotype" w:cs="Arial"/>
          <w:sz w:val="24"/>
          <w:szCs w:val="24"/>
          <w:bdr w:val="nil"/>
        </w:rPr>
        <w:t xml:space="preserve">AIMEX) la siguiente </w:t>
      </w:r>
      <w:r w:rsidR="001E1ABF">
        <w:rPr>
          <w:rFonts w:ascii="Palatino Linotype" w:hAnsi="Palatino Linotype" w:cs="Tahoma"/>
          <w:bCs/>
        </w:rPr>
        <w:t>“</w:t>
      </w:r>
      <w:r w:rsidR="00414282" w:rsidRPr="00414282">
        <w:rPr>
          <w:rFonts w:ascii="Palatino Linotype" w:eastAsia="MS Mincho" w:hAnsi="Palatino Linotype" w:cs="Arial"/>
          <w:i/>
          <w:lang w:val="es-ES_tradnl" w:eastAsia="es-ES"/>
        </w:rPr>
        <w:t>EXISTE ALGUNA MESA DE TRABAJO PERMANENTE Y CALENDARIZADA CON LAS AUTORIDADES DE CECYTEM PARA RESOLVER PROBLEMAS Y PARA PROPONER MEJORAS. ALGUNA VEZ HAN EMPLAZADO A HUELGA???? PORQUE MOTIVOS EN CASO AFIRMATIVO Y CUANDO.</w:t>
      </w:r>
      <w:r w:rsidR="001E1ABF" w:rsidRPr="004059FB">
        <w:rPr>
          <w:rFonts w:ascii="Palatino Linotype" w:hAnsi="Palatino Linotype" w:cs="Tahoma"/>
          <w:bCs/>
        </w:rPr>
        <w:t>” (</w:t>
      </w:r>
      <w:r w:rsidR="001E1ABF" w:rsidRPr="004059FB">
        <w:rPr>
          <w:rFonts w:ascii="Palatino Linotype" w:hAnsi="Palatino Linotype" w:cs="Tahoma"/>
          <w:bCs/>
          <w:i/>
        </w:rPr>
        <w:t>Sic.</w:t>
      </w:r>
      <w:r w:rsidR="001E1ABF" w:rsidRPr="004059FB">
        <w:rPr>
          <w:rFonts w:ascii="Palatino Linotype" w:hAnsi="Palatino Linotype" w:cs="Tahoma"/>
          <w:bCs/>
        </w:rPr>
        <w:t>)</w:t>
      </w:r>
      <w:r w:rsidR="001E1ABF">
        <w:rPr>
          <w:rFonts w:ascii="Palatino Linotype" w:hAnsi="Palatino Linotype" w:cs="Tahoma"/>
          <w:bCs/>
        </w:rPr>
        <w:t>”</w:t>
      </w:r>
    </w:p>
    <w:p w:rsidR="001E1ABF" w:rsidRPr="001E1ABF" w:rsidRDefault="001E1ABF" w:rsidP="001E1ABF">
      <w:pPr>
        <w:tabs>
          <w:tab w:val="left" w:pos="4667"/>
        </w:tabs>
        <w:spacing w:line="360" w:lineRule="auto"/>
        <w:ind w:left="567" w:right="567"/>
        <w:jc w:val="both"/>
        <w:rPr>
          <w:rFonts w:ascii="Palatino Linotype" w:hAnsi="Palatino Linotype" w:cs="Tahoma"/>
          <w:bCs/>
        </w:rPr>
      </w:pPr>
    </w:p>
    <w:p w:rsidR="00FF0294" w:rsidRDefault="002C0425" w:rsidP="00FF0294">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cs="Arial"/>
          <w:sz w:val="24"/>
          <w:szCs w:val="24"/>
          <w:bdr w:val="nil"/>
        </w:rPr>
      </w:pPr>
      <w:r w:rsidRPr="00414282">
        <w:rPr>
          <w:rFonts w:ascii="Palatino Linotype" w:eastAsia="Arial Unicode MS" w:hAnsi="Palatino Linotype" w:cs="Arial"/>
          <w:color w:val="000000" w:themeColor="text1"/>
          <w:sz w:val="24"/>
          <w:szCs w:val="24"/>
          <w:bdr w:val="nil"/>
        </w:rPr>
        <w:t xml:space="preserve">En atención a dicha solicitud el </w:t>
      </w:r>
      <w:r w:rsidR="00930D24" w:rsidRPr="00414282">
        <w:rPr>
          <w:rFonts w:ascii="Palatino Linotype" w:eastAsia="Arial Unicode MS" w:hAnsi="Palatino Linotype" w:cs="Arial"/>
          <w:b/>
          <w:color w:val="000000" w:themeColor="text1"/>
          <w:sz w:val="24"/>
          <w:szCs w:val="24"/>
          <w:bdr w:val="nil"/>
        </w:rPr>
        <w:t>Sujeto Obligado</w:t>
      </w:r>
      <w:r w:rsidR="00930D24" w:rsidRPr="00414282">
        <w:rPr>
          <w:rFonts w:ascii="Palatino Linotype" w:eastAsia="Arial Unicode MS" w:hAnsi="Palatino Linotype" w:cs="Arial"/>
          <w:color w:val="000000" w:themeColor="text1"/>
          <w:sz w:val="24"/>
          <w:szCs w:val="24"/>
          <w:bdr w:val="nil"/>
        </w:rPr>
        <w:t xml:space="preserve"> </w:t>
      </w:r>
      <w:r w:rsidR="00414282" w:rsidRPr="00414282">
        <w:rPr>
          <w:rFonts w:ascii="Palatino Linotype" w:eastAsia="Arial Unicode MS" w:hAnsi="Palatino Linotype" w:cs="Arial"/>
          <w:color w:val="000000" w:themeColor="text1"/>
          <w:sz w:val="24"/>
          <w:szCs w:val="24"/>
          <w:bdr w:val="nil"/>
        </w:rPr>
        <w:t xml:space="preserve">fue omiso en </w:t>
      </w:r>
      <w:r w:rsidR="00414282" w:rsidRPr="00414282">
        <w:rPr>
          <w:rFonts w:ascii="Palatino Linotype" w:eastAsia="Arial Unicode MS" w:hAnsi="Palatino Linotype" w:cs="Times New Roman"/>
          <w:color w:val="000000" w:themeColor="text1"/>
          <w:sz w:val="24"/>
          <w:szCs w:val="24"/>
          <w:bdr w:val="nil"/>
        </w:rPr>
        <w:t>formular</w:t>
      </w:r>
      <w:r w:rsidRPr="00414282">
        <w:rPr>
          <w:rFonts w:ascii="Palatino Linotype" w:eastAsia="Arial Unicode MS" w:hAnsi="Palatino Linotype" w:cs="Times New Roman"/>
          <w:color w:val="000000" w:themeColor="text1"/>
          <w:sz w:val="24"/>
          <w:szCs w:val="24"/>
          <w:bdr w:val="nil"/>
        </w:rPr>
        <w:t xml:space="preserve"> su respuesta</w:t>
      </w:r>
      <w:r w:rsidR="00414282" w:rsidRPr="00414282">
        <w:rPr>
          <w:rFonts w:ascii="Palatino Linotype" w:eastAsia="Arial Unicode MS" w:hAnsi="Palatino Linotype" w:cs="Times New Roman"/>
          <w:color w:val="000000" w:themeColor="text1"/>
          <w:sz w:val="24"/>
          <w:szCs w:val="24"/>
          <w:bdr w:val="nil"/>
        </w:rPr>
        <w:t xml:space="preserve"> e informe justificado.</w:t>
      </w:r>
      <w:r w:rsidR="00414282" w:rsidRPr="00414282">
        <w:rPr>
          <w:rFonts w:ascii="Palatino Linotype" w:eastAsia="Arial Unicode MS" w:hAnsi="Palatino Linotype" w:cs="Arial"/>
          <w:sz w:val="24"/>
          <w:szCs w:val="24"/>
          <w:bdr w:val="nil"/>
        </w:rPr>
        <w:t xml:space="preserve"> </w:t>
      </w:r>
      <w:r w:rsidR="00414282" w:rsidRPr="00414282">
        <w:rPr>
          <w:rFonts w:ascii="Palatino Linotype" w:eastAsia="Arial Unicode MS" w:hAnsi="Palatino Linotype" w:cs="Times New Roman"/>
          <w:color w:val="000000" w:themeColor="text1"/>
          <w:sz w:val="24"/>
          <w:szCs w:val="24"/>
          <w:bdr w:val="nil"/>
          <w:lang w:val="es-ES_tradnl"/>
        </w:rPr>
        <w:t xml:space="preserve">Derivado de ello, </w:t>
      </w:r>
      <w:r w:rsidR="00FF0294" w:rsidRPr="00414282">
        <w:rPr>
          <w:rFonts w:ascii="Palatino Linotype" w:eastAsia="Arial Unicode MS" w:hAnsi="Palatino Linotype" w:cs="Times New Roman"/>
          <w:color w:val="000000" w:themeColor="text1"/>
          <w:sz w:val="24"/>
          <w:szCs w:val="24"/>
          <w:bdr w:val="nil"/>
          <w:lang w:val="es-ES_tradnl"/>
        </w:rPr>
        <w:t xml:space="preserve">la particular </w:t>
      </w:r>
      <w:r w:rsidRPr="00414282">
        <w:rPr>
          <w:rFonts w:ascii="Palatino Linotype" w:eastAsia="Arial Unicode MS" w:hAnsi="Palatino Linotype" w:cs="Arial"/>
          <w:sz w:val="24"/>
          <w:szCs w:val="24"/>
          <w:bdr w:val="nil"/>
        </w:rPr>
        <w:t>interpuso</w:t>
      </w:r>
      <w:r w:rsidR="00FF0294" w:rsidRPr="00414282">
        <w:rPr>
          <w:rFonts w:ascii="Palatino Linotype" w:eastAsia="Arial Unicode MS" w:hAnsi="Palatino Linotype" w:cs="Arial"/>
          <w:sz w:val="24"/>
          <w:szCs w:val="24"/>
          <w:bdr w:val="nil"/>
        </w:rPr>
        <w:t xml:space="preserve"> </w:t>
      </w:r>
      <w:r w:rsidRPr="00414282">
        <w:rPr>
          <w:rFonts w:ascii="Palatino Linotype" w:eastAsia="Arial Unicode MS" w:hAnsi="Palatino Linotype" w:cs="Arial"/>
          <w:sz w:val="24"/>
          <w:szCs w:val="24"/>
          <w:bdr w:val="nil"/>
        </w:rPr>
        <w:t xml:space="preserve">recurso de revisión manifestando medularmente como razones o motivos de inconformidad </w:t>
      </w:r>
      <w:r w:rsidR="00FF0294" w:rsidRPr="00414282">
        <w:rPr>
          <w:rFonts w:ascii="Palatino Linotype" w:eastAsia="Arial Unicode MS" w:hAnsi="Palatino Linotype" w:cs="Arial"/>
          <w:sz w:val="24"/>
          <w:szCs w:val="24"/>
          <w:bdr w:val="nil"/>
        </w:rPr>
        <w:t xml:space="preserve">la falta de entrega de </w:t>
      </w:r>
      <w:r w:rsidR="00414282">
        <w:rPr>
          <w:rFonts w:ascii="Palatino Linotype" w:eastAsia="Arial Unicode MS" w:hAnsi="Palatino Linotype" w:cs="Arial"/>
          <w:sz w:val="24"/>
          <w:szCs w:val="24"/>
          <w:bdr w:val="nil"/>
        </w:rPr>
        <w:t>la información en tiempo y forma.</w:t>
      </w:r>
    </w:p>
    <w:p w:rsidR="00CB1589" w:rsidRDefault="00CB1589" w:rsidP="00CB1589">
      <w:pPr>
        <w:pStyle w:val="Prrafodelista"/>
        <w:rPr>
          <w:rFonts w:ascii="Palatino Linotype" w:eastAsia="Arial Unicode MS" w:hAnsi="Palatino Linotype" w:cs="Arial"/>
          <w:sz w:val="24"/>
          <w:szCs w:val="24"/>
          <w:bdr w:val="nil"/>
        </w:rPr>
      </w:pPr>
    </w:p>
    <w:p w:rsidR="00CB1589" w:rsidRPr="00414282" w:rsidRDefault="00CB1589" w:rsidP="00CB1589">
      <w:pPr>
        <w:pBdr>
          <w:top w:val="nil"/>
          <w:left w:val="nil"/>
          <w:bottom w:val="nil"/>
          <w:right w:val="nil"/>
          <w:between w:val="nil"/>
          <w:bar w:val="nil"/>
        </w:pBdr>
        <w:spacing w:after="0" w:line="360" w:lineRule="auto"/>
        <w:contextualSpacing/>
        <w:jc w:val="both"/>
        <w:rPr>
          <w:rFonts w:ascii="Palatino Linotype" w:eastAsia="Arial Unicode MS" w:hAnsi="Palatino Linotype" w:cs="Arial"/>
          <w:sz w:val="24"/>
          <w:szCs w:val="24"/>
          <w:bdr w:val="nil"/>
        </w:rPr>
      </w:pPr>
    </w:p>
    <w:p w:rsidR="00D147B9" w:rsidRDefault="00FF0294" w:rsidP="00D147B9">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cs="Arial"/>
          <w:sz w:val="24"/>
          <w:szCs w:val="24"/>
          <w:bdr w:val="nil"/>
        </w:rPr>
        <w:t xml:space="preserve">Por lo que la ponencia resolutora, procedió a realizar el estudio del asunto, </w:t>
      </w:r>
      <w:r w:rsidR="00414282">
        <w:rPr>
          <w:rFonts w:ascii="Palatino Linotype" w:eastAsia="Arial Unicode MS" w:hAnsi="Palatino Linotype" w:cs="Arial"/>
          <w:sz w:val="24"/>
          <w:szCs w:val="24"/>
          <w:bdr w:val="nil"/>
        </w:rPr>
        <w:t xml:space="preserve">el cual consistió en determinar que la información materia de la solicitud, no </w:t>
      </w:r>
      <w:r w:rsidR="00D147B9">
        <w:rPr>
          <w:rFonts w:ascii="Palatino Linotype" w:eastAsia="Arial Unicode MS" w:hAnsi="Palatino Linotype" w:cs="Arial"/>
          <w:sz w:val="24"/>
          <w:szCs w:val="24"/>
          <w:bdr w:val="nil"/>
        </w:rPr>
        <w:t xml:space="preserve">es susceptible de </w:t>
      </w:r>
      <w:r w:rsidR="00D147B9" w:rsidRPr="00D147B9">
        <w:rPr>
          <w:rFonts w:ascii="Palatino Linotype" w:eastAsia="Times New Roman" w:hAnsi="Palatino Linotype" w:cs="Times New Roman"/>
          <w:sz w:val="24"/>
          <w:szCs w:val="24"/>
          <w:lang w:val="es-ES" w:eastAsia="es-ES"/>
        </w:rPr>
        <w:t>trasparentar y rendir cuentas respecto del uso y destino de los recursos públicos y actos de autoridad que realicen</w:t>
      </w:r>
      <w:r w:rsidR="00D147B9">
        <w:rPr>
          <w:rFonts w:ascii="Palatino Linotype" w:eastAsia="Times New Roman" w:hAnsi="Palatino Linotype" w:cs="Times New Roman"/>
          <w:sz w:val="24"/>
          <w:szCs w:val="24"/>
          <w:lang w:val="es-ES" w:eastAsia="es-ES"/>
        </w:rPr>
        <w:t xml:space="preserve"> que realice el Sindicato.</w:t>
      </w:r>
    </w:p>
    <w:p w:rsidR="00FF0294" w:rsidRDefault="00FF0294" w:rsidP="00FF0294">
      <w:pPr>
        <w:pStyle w:val="Prrafodelista"/>
        <w:rPr>
          <w:rFonts w:ascii="Palatino Linotype" w:eastAsia="Arial Unicode MS" w:hAnsi="Palatino Linotype"/>
          <w:sz w:val="24"/>
          <w:szCs w:val="24"/>
          <w:bdr w:val="nil"/>
        </w:rPr>
      </w:pPr>
    </w:p>
    <w:p w:rsidR="00D147B9" w:rsidRDefault="00D147B9"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lastRenderedPageBreak/>
        <w:t xml:space="preserve">Por tanto, se refirió que </w:t>
      </w:r>
      <w:r w:rsidRPr="00D147B9">
        <w:rPr>
          <w:rFonts w:ascii="Palatino Linotype" w:eastAsia="Times New Roman" w:hAnsi="Palatino Linotype" w:cs="Times New Roman"/>
          <w:sz w:val="24"/>
          <w:szCs w:val="24"/>
          <w:lang w:val="es-ES" w:eastAsia="es-ES"/>
        </w:rPr>
        <w:t>las mesas de trabajo solicitadas no se r</w:t>
      </w:r>
      <w:r>
        <w:rPr>
          <w:rFonts w:ascii="Palatino Linotype" w:eastAsia="Times New Roman" w:hAnsi="Palatino Linotype" w:cs="Times New Roman"/>
          <w:sz w:val="24"/>
          <w:szCs w:val="24"/>
          <w:lang w:val="es-ES" w:eastAsia="es-ES"/>
        </w:rPr>
        <w:t>elacionan con recursos públicos,</w:t>
      </w:r>
      <w:r w:rsidRPr="00D147B9">
        <w:rPr>
          <w:rFonts w:ascii="Palatino Linotype" w:eastAsia="Times New Roman" w:hAnsi="Palatino Linotype" w:cs="Times New Roman"/>
          <w:sz w:val="24"/>
          <w:szCs w:val="24"/>
          <w:lang w:val="es-ES" w:eastAsia="es-ES"/>
        </w:rPr>
        <w:t xml:space="preserve"> sino más bien con la solución de problemas y propuestas de mejora, que atañen intrínsecamente al actuar interno de la agrupación de trabajadores</w:t>
      </w:r>
      <w:r>
        <w:rPr>
          <w:rFonts w:ascii="Palatino Linotype" w:eastAsia="Times New Roman" w:hAnsi="Palatino Linotype" w:cs="Times New Roman"/>
          <w:sz w:val="24"/>
          <w:szCs w:val="24"/>
          <w:lang w:val="es-ES" w:eastAsia="es-ES"/>
        </w:rPr>
        <w:t xml:space="preserve"> y </w:t>
      </w:r>
      <w:r>
        <w:rPr>
          <w:rFonts w:ascii="Palatino Linotype" w:eastAsia="MS Mincho" w:hAnsi="Palatino Linotype" w:cs="Arial"/>
          <w:sz w:val="24"/>
          <w:szCs w:val="20"/>
          <w:lang w:eastAsia="es-ES"/>
        </w:rPr>
        <w:t xml:space="preserve">las huelgas, no </w:t>
      </w:r>
      <w:r w:rsidRPr="00D147B9">
        <w:rPr>
          <w:rFonts w:ascii="Palatino Linotype" w:eastAsia="MS Mincho" w:hAnsi="Palatino Linotype" w:cs="Arial"/>
          <w:sz w:val="24"/>
          <w:szCs w:val="20"/>
          <w:lang w:eastAsia="es-ES"/>
        </w:rPr>
        <w:t>es información que vaya encaminada a transparentar el uso y destino de los recursos públicos u actos de autoridad</w:t>
      </w:r>
      <w:r>
        <w:rPr>
          <w:rFonts w:ascii="Palatino Linotype" w:eastAsia="MS Mincho" w:hAnsi="Palatino Linotype" w:cs="Arial"/>
          <w:sz w:val="24"/>
          <w:szCs w:val="20"/>
          <w:lang w:eastAsia="es-ES"/>
        </w:rPr>
        <w:t xml:space="preserve">, por lo tanto la ponente determinó </w:t>
      </w:r>
      <w:r w:rsidR="00D449BF">
        <w:rPr>
          <w:rFonts w:ascii="Palatino Linotype" w:eastAsia="MS Mincho" w:hAnsi="Palatino Linotype" w:cs="Arial"/>
          <w:sz w:val="24"/>
          <w:szCs w:val="20"/>
          <w:lang w:eastAsia="es-ES"/>
        </w:rPr>
        <w:t xml:space="preserve">que la información </w:t>
      </w:r>
      <w:r w:rsidR="00D449BF" w:rsidRPr="00D449BF">
        <w:rPr>
          <w:rFonts w:ascii="Palatino Linotype" w:eastAsia="MS Mincho" w:hAnsi="Palatino Linotype" w:cs="Arial"/>
          <w:color w:val="000000"/>
          <w:sz w:val="24"/>
          <w:szCs w:val="24"/>
          <w:lang w:val="es-ES_tradnl" w:eastAsia="es-ES"/>
        </w:rPr>
        <w:t xml:space="preserve">no se encuentra sujeta al escrutinio público, </w:t>
      </w:r>
      <w:r w:rsidR="00D449BF">
        <w:rPr>
          <w:rFonts w:ascii="Palatino Linotype" w:eastAsia="MS Mincho" w:hAnsi="Palatino Linotype" w:cs="Arial"/>
          <w:color w:val="000000"/>
          <w:sz w:val="24"/>
          <w:szCs w:val="24"/>
          <w:lang w:val="es-ES_tradnl" w:eastAsia="es-ES"/>
        </w:rPr>
        <w:t xml:space="preserve">al no </w:t>
      </w:r>
      <w:r w:rsidR="00D449BF" w:rsidRPr="00D449BF">
        <w:rPr>
          <w:rFonts w:ascii="Palatino Linotype" w:eastAsia="MS Mincho" w:hAnsi="Palatino Linotype" w:cs="Arial"/>
          <w:color w:val="000000"/>
          <w:sz w:val="24"/>
          <w:szCs w:val="24"/>
          <w:lang w:val="es-ES_tradnl" w:eastAsia="es-ES"/>
        </w:rPr>
        <w:t xml:space="preserve"> </w:t>
      </w:r>
      <w:r w:rsidR="00D449BF" w:rsidRPr="00D449BF">
        <w:rPr>
          <w:rFonts w:ascii="Palatino Linotype" w:eastAsia="Arial Unicode MS" w:hAnsi="Palatino Linotype" w:cs="Arial"/>
          <w:sz w:val="24"/>
          <w:szCs w:val="24"/>
          <w:lang w:eastAsia="es-ES"/>
        </w:rPr>
        <w:t>constitu</w:t>
      </w:r>
      <w:r w:rsidR="00D449BF">
        <w:rPr>
          <w:rFonts w:ascii="Palatino Linotype" w:eastAsia="Arial Unicode MS" w:hAnsi="Palatino Linotype" w:cs="Arial"/>
          <w:sz w:val="24"/>
          <w:szCs w:val="24"/>
          <w:lang w:eastAsia="es-ES"/>
        </w:rPr>
        <w:t>irse</w:t>
      </w:r>
      <w:r w:rsidR="00D449BF" w:rsidRPr="00D449BF">
        <w:rPr>
          <w:rFonts w:ascii="Palatino Linotype" w:eastAsia="Arial Unicode MS" w:hAnsi="Palatino Linotype" w:cs="Arial"/>
          <w:sz w:val="24"/>
          <w:szCs w:val="24"/>
          <w:lang w:eastAsia="es-ES"/>
        </w:rPr>
        <w:t xml:space="preserve"> el ejercicio de recursos públicos, ni la realización de actos de autoridad; por</w:t>
      </w:r>
      <w:r w:rsidR="00D449BF">
        <w:rPr>
          <w:rFonts w:ascii="Palatino Linotype" w:eastAsia="Arial Unicode MS" w:hAnsi="Palatino Linotype" w:cs="Arial"/>
          <w:sz w:val="24"/>
          <w:szCs w:val="24"/>
          <w:lang w:eastAsia="es-ES"/>
        </w:rPr>
        <w:t xml:space="preserve"> tanto se procedió</w:t>
      </w:r>
      <w:r w:rsidR="00D449BF" w:rsidRPr="00D449BF">
        <w:rPr>
          <w:rFonts w:ascii="Palatino Linotype" w:eastAsia="Arial Unicode MS" w:hAnsi="Palatino Linotype" w:cs="Arial"/>
          <w:sz w:val="24"/>
          <w:szCs w:val="24"/>
          <w:lang w:eastAsia="es-ES"/>
        </w:rPr>
        <w:t xml:space="preserve"> </w:t>
      </w:r>
      <w:r w:rsidR="00D449BF">
        <w:rPr>
          <w:rFonts w:ascii="Palatino Linotype" w:eastAsia="Arial Unicode MS" w:hAnsi="Palatino Linotype" w:cs="Arial"/>
          <w:sz w:val="24"/>
          <w:szCs w:val="24"/>
          <w:lang w:eastAsia="es-ES"/>
        </w:rPr>
        <w:t xml:space="preserve">clasificar la información </w:t>
      </w:r>
      <w:r w:rsidR="00D449BF" w:rsidRPr="00D449BF">
        <w:rPr>
          <w:rFonts w:ascii="Palatino Linotype" w:eastAsia="Arial Unicode MS" w:hAnsi="Palatino Linotype" w:cs="Arial"/>
          <w:sz w:val="24"/>
          <w:szCs w:val="24"/>
          <w:lang w:eastAsia="es-ES"/>
        </w:rPr>
        <w:t>como confidencial</w:t>
      </w:r>
      <w:r w:rsidR="00D449BF">
        <w:rPr>
          <w:rFonts w:ascii="Palatino Linotype" w:eastAsia="Arial Unicode MS" w:hAnsi="Palatino Linotype" w:cs="Arial"/>
          <w:sz w:val="24"/>
          <w:szCs w:val="24"/>
          <w:lang w:eastAsia="es-ES"/>
        </w:rPr>
        <w:t xml:space="preserve">. </w:t>
      </w:r>
    </w:p>
    <w:p w:rsidR="00D147B9" w:rsidRDefault="00D147B9" w:rsidP="00D147B9">
      <w:pPr>
        <w:pStyle w:val="Prrafodelista"/>
        <w:rPr>
          <w:rFonts w:ascii="Palatino Linotype" w:eastAsia="Arial Unicode MS" w:hAnsi="Palatino Linotype"/>
          <w:sz w:val="24"/>
          <w:szCs w:val="24"/>
          <w:bdr w:val="nil"/>
        </w:rPr>
      </w:pPr>
    </w:p>
    <w:p w:rsidR="00A3574A" w:rsidRDefault="00A3574A" w:rsidP="002A43BC">
      <w:pPr>
        <w:numPr>
          <w:ilvl w:val="0"/>
          <w:numId w:val="1"/>
        </w:numPr>
        <w:pBdr>
          <w:top w:val="nil"/>
          <w:left w:val="nil"/>
          <w:bottom w:val="nil"/>
          <w:right w:val="nil"/>
          <w:between w:val="nil"/>
          <w:bar w:val="nil"/>
        </w:pBdr>
        <w:spacing w:after="0" w:line="360" w:lineRule="auto"/>
        <w:ind w:left="0" w:firstLine="0"/>
        <w:contextualSpacing/>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De tal manera, que se emite el presente voto particular, en el cual se aborda lo siguiente:</w:t>
      </w:r>
    </w:p>
    <w:p w:rsidR="00CB1589" w:rsidRDefault="00CB1589" w:rsidP="00CB1589">
      <w:pPr>
        <w:pStyle w:val="Prrafodelista"/>
        <w:rPr>
          <w:rFonts w:ascii="Palatino Linotype" w:eastAsia="Arial Unicode MS" w:hAnsi="Palatino Linotype"/>
          <w:sz w:val="24"/>
          <w:szCs w:val="24"/>
          <w:bdr w:val="nil"/>
        </w:rPr>
      </w:pPr>
    </w:p>
    <w:p w:rsidR="00CB1589" w:rsidRPr="00FF0294" w:rsidRDefault="00CB1589" w:rsidP="00CB1589">
      <w:pPr>
        <w:pBdr>
          <w:top w:val="nil"/>
          <w:left w:val="nil"/>
          <w:bottom w:val="nil"/>
          <w:right w:val="nil"/>
          <w:between w:val="nil"/>
          <w:bar w:val="nil"/>
        </w:pBdr>
        <w:spacing w:after="0" w:line="360" w:lineRule="auto"/>
        <w:contextualSpacing/>
        <w:jc w:val="both"/>
        <w:rPr>
          <w:rFonts w:ascii="Palatino Linotype" w:eastAsia="Arial Unicode MS" w:hAnsi="Palatino Linotype"/>
          <w:sz w:val="24"/>
          <w:szCs w:val="24"/>
          <w:bdr w:val="nil"/>
        </w:rPr>
      </w:pPr>
    </w:p>
    <w:p w:rsidR="003F100C" w:rsidRDefault="008A3BC8" w:rsidP="003F100C">
      <w:pPr>
        <w:pStyle w:val="Prrafodelista"/>
        <w:keepNext/>
        <w:keepLines/>
        <w:numPr>
          <w:ilvl w:val="0"/>
          <w:numId w:val="2"/>
        </w:numPr>
        <w:pBdr>
          <w:top w:val="nil"/>
          <w:left w:val="nil"/>
          <w:bottom w:val="nil"/>
          <w:right w:val="nil"/>
          <w:between w:val="nil"/>
          <w:bar w:val="nil"/>
        </w:pBdr>
        <w:spacing w:after="0" w:line="360" w:lineRule="auto"/>
        <w:ind w:left="0" w:firstLine="0"/>
        <w:outlineLvl w:val="1"/>
        <w:rPr>
          <w:rFonts w:ascii="Palatino Linotype" w:eastAsiaTheme="majorEastAsia" w:hAnsi="Palatino Linotype" w:cstheme="majorBidi"/>
          <w:b/>
          <w:color w:val="000000" w:themeColor="text1"/>
          <w:sz w:val="24"/>
          <w:szCs w:val="24"/>
          <w:bdr w:val="nil"/>
        </w:rPr>
      </w:pPr>
      <w:bookmarkStart w:id="3" w:name="_Toc3911801"/>
      <w:r>
        <w:rPr>
          <w:rFonts w:ascii="Palatino Linotype" w:eastAsiaTheme="majorEastAsia" w:hAnsi="Palatino Linotype" w:cstheme="majorBidi"/>
          <w:b/>
          <w:color w:val="000000" w:themeColor="text1"/>
          <w:sz w:val="24"/>
          <w:szCs w:val="24"/>
          <w:bdr w:val="nil"/>
        </w:rPr>
        <w:t>De la entrega de la información</w:t>
      </w:r>
      <w:r w:rsidR="002C0425" w:rsidRPr="002A43BC">
        <w:rPr>
          <w:rFonts w:ascii="Palatino Linotype" w:eastAsiaTheme="majorEastAsia" w:hAnsi="Palatino Linotype" w:cstheme="majorBidi"/>
          <w:b/>
          <w:color w:val="000000" w:themeColor="text1"/>
          <w:sz w:val="24"/>
          <w:szCs w:val="24"/>
          <w:bdr w:val="nil"/>
        </w:rPr>
        <w:t>.</w:t>
      </w:r>
      <w:bookmarkEnd w:id="3"/>
    </w:p>
    <w:p w:rsidR="00C703BE" w:rsidRDefault="00C703BE" w:rsidP="00C703BE">
      <w:pPr>
        <w:pStyle w:val="Prrafodelista"/>
        <w:keepNext/>
        <w:keepLines/>
        <w:pBdr>
          <w:top w:val="nil"/>
          <w:left w:val="nil"/>
          <w:bottom w:val="nil"/>
          <w:right w:val="nil"/>
          <w:between w:val="nil"/>
          <w:bar w:val="nil"/>
        </w:pBdr>
        <w:spacing w:after="0" w:line="360" w:lineRule="auto"/>
        <w:ind w:left="0"/>
        <w:outlineLvl w:val="1"/>
        <w:rPr>
          <w:rFonts w:ascii="Palatino Linotype" w:eastAsiaTheme="majorEastAsia" w:hAnsi="Palatino Linotype" w:cstheme="majorBidi"/>
          <w:b/>
          <w:color w:val="000000" w:themeColor="text1"/>
          <w:sz w:val="24"/>
          <w:szCs w:val="24"/>
          <w:bdr w:val="nil"/>
        </w:rPr>
      </w:pPr>
    </w:p>
    <w:p w:rsidR="00C703BE" w:rsidRDefault="00C703BE" w:rsidP="00C703BE">
      <w:pPr>
        <w:pStyle w:val="Prrafodelista"/>
        <w:keepNext/>
        <w:keepLines/>
        <w:numPr>
          <w:ilvl w:val="0"/>
          <w:numId w:val="10"/>
        </w:numPr>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bookmarkStart w:id="4" w:name="_Toc3911802"/>
      <w:r>
        <w:rPr>
          <w:rFonts w:ascii="Palatino Linotype" w:eastAsiaTheme="majorEastAsia" w:hAnsi="Palatino Linotype" w:cstheme="majorBidi"/>
          <w:b/>
          <w:color w:val="000000" w:themeColor="text1"/>
          <w:sz w:val="24"/>
          <w:szCs w:val="24"/>
          <w:bdr w:val="nil"/>
        </w:rPr>
        <w:t>Acto de autoridad.</w:t>
      </w:r>
      <w:bookmarkEnd w:id="4"/>
    </w:p>
    <w:p w:rsidR="00C703BE" w:rsidRDefault="00C703BE" w:rsidP="00C703BE">
      <w:pPr>
        <w:pStyle w:val="Prrafodelista"/>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p>
    <w:p w:rsidR="00CB1589" w:rsidRDefault="00CB1589" w:rsidP="00CB158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2F2F50">
        <w:rPr>
          <w:rFonts w:ascii="Palatino Linotype" w:eastAsia="MS Mincho" w:hAnsi="Palatino Linotype" w:cs="Times New Roman"/>
          <w:sz w:val="24"/>
          <w:szCs w:val="24"/>
          <w:lang w:val="es-ES_tradnl" w:eastAsia="es-ES"/>
        </w:rPr>
        <w:t xml:space="preserve">De </w:t>
      </w:r>
      <w:r w:rsidRPr="002F2F50">
        <w:rPr>
          <w:rFonts w:ascii="Palatino Linotype" w:eastAsia="Calibri" w:hAnsi="Palatino Linotype" w:cs="Arial"/>
          <w:sz w:val="24"/>
          <w:szCs w:val="24"/>
          <w:lang w:val="es-ES_tradnl" w:eastAsia="es-ES"/>
        </w:rPr>
        <w:t>acuerdo</w:t>
      </w:r>
      <w:r w:rsidRPr="002F2F5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w:t>
      </w:r>
      <w:r w:rsidRPr="002F2F50">
        <w:rPr>
          <w:rFonts w:ascii="Palatino Linotype" w:eastAsia="MS Mincho" w:hAnsi="Palatino Linotype" w:cs="Times New Roman"/>
          <w:sz w:val="24"/>
          <w:szCs w:val="24"/>
          <w:lang w:val="es-ES_tradnl" w:eastAsia="es-ES"/>
        </w:rPr>
        <w:lastRenderedPageBreak/>
        <w:t>la gestión pública y mejora la toma decisiones, a través de la difusión de la información que obra en poder de los Sujetos Obligados.</w:t>
      </w:r>
    </w:p>
    <w:p w:rsidR="00CB1589" w:rsidRDefault="00CB1589" w:rsidP="00CB1589">
      <w:pPr>
        <w:spacing w:after="0" w:line="360" w:lineRule="auto"/>
        <w:ind w:right="34"/>
        <w:contextualSpacing/>
        <w:jc w:val="both"/>
        <w:rPr>
          <w:rFonts w:ascii="Palatino Linotype" w:eastAsia="MS Mincho" w:hAnsi="Palatino Linotype" w:cs="Times New Roman"/>
          <w:sz w:val="24"/>
          <w:szCs w:val="24"/>
          <w:lang w:val="es-ES_tradnl" w:eastAsia="es-ES"/>
        </w:rPr>
      </w:pPr>
    </w:p>
    <w:p w:rsidR="00CB1589" w:rsidRDefault="00CB1589" w:rsidP="00CB158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B1589">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CB1589" w:rsidRDefault="00CB1589" w:rsidP="00CB1589">
      <w:pPr>
        <w:pStyle w:val="Prrafodelista"/>
        <w:rPr>
          <w:rFonts w:ascii="Palatino Linotype" w:eastAsia="MS Mincho" w:hAnsi="Palatino Linotype" w:cs="Times New Roman"/>
          <w:sz w:val="24"/>
          <w:szCs w:val="24"/>
          <w:lang w:val="es-ES_tradnl" w:eastAsia="es-ES"/>
        </w:rPr>
      </w:pPr>
    </w:p>
    <w:p w:rsidR="00CB1589" w:rsidRDefault="00CB1589" w:rsidP="00CB158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B1589">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B1589" w:rsidRDefault="00CB1589" w:rsidP="00CB1589">
      <w:pPr>
        <w:pStyle w:val="Prrafodelista"/>
        <w:rPr>
          <w:rFonts w:ascii="Palatino Linotype" w:eastAsia="MS Mincho" w:hAnsi="Palatino Linotype" w:cs="Times New Roman"/>
          <w:sz w:val="24"/>
          <w:szCs w:val="24"/>
          <w:lang w:val="es-ES_tradnl" w:eastAsia="es-ES"/>
        </w:rPr>
      </w:pPr>
    </w:p>
    <w:p w:rsidR="00CB1589" w:rsidRDefault="00CB1589" w:rsidP="00CB158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B1589">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w:t>
      </w:r>
      <w:r w:rsidRPr="00CB1589">
        <w:rPr>
          <w:rFonts w:ascii="Palatino Linotype" w:eastAsia="MS Mincho" w:hAnsi="Palatino Linotype" w:cs="Times New Roman"/>
          <w:sz w:val="24"/>
          <w:szCs w:val="24"/>
          <w:lang w:val="es-ES_tradnl" w:eastAsia="es-ES"/>
        </w:rPr>
        <w:lastRenderedPageBreak/>
        <w:t>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CB1589" w:rsidRDefault="00CB1589" w:rsidP="00CB1589">
      <w:pPr>
        <w:pStyle w:val="Prrafodelista"/>
        <w:rPr>
          <w:rFonts w:ascii="Palatino Linotype" w:eastAsia="MS Mincho" w:hAnsi="Palatino Linotype" w:cs="Times New Roman"/>
          <w:sz w:val="24"/>
          <w:szCs w:val="24"/>
          <w:lang w:val="es-ES_tradnl" w:eastAsia="es-ES"/>
        </w:rPr>
      </w:pPr>
    </w:p>
    <w:p w:rsidR="00CB1589" w:rsidRPr="00CB1589" w:rsidRDefault="00CB1589" w:rsidP="00CB1589">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B1589">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B1589" w:rsidRDefault="00CB1589" w:rsidP="00CB1589">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D449BF" w:rsidRDefault="008D0A77" w:rsidP="003F100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8A3BC8">
        <w:rPr>
          <w:rFonts w:ascii="Palatino Linotype" w:eastAsia="Arial Unicode MS" w:hAnsi="Palatino Linotype"/>
          <w:sz w:val="24"/>
          <w:szCs w:val="24"/>
          <w:bdr w:val="nil"/>
        </w:rPr>
        <w:t xml:space="preserve">En principio es necesario señalar que el </w:t>
      </w:r>
      <w:r w:rsidRPr="008A3BC8">
        <w:rPr>
          <w:rFonts w:ascii="Palatino Linotype" w:eastAsia="Arial Unicode MS" w:hAnsi="Palatino Linotype"/>
          <w:b/>
          <w:sz w:val="24"/>
          <w:szCs w:val="24"/>
          <w:bdr w:val="nil"/>
        </w:rPr>
        <w:t>Sujeto Obligado</w:t>
      </w:r>
      <w:r w:rsidR="008A3BC8" w:rsidRPr="008A3BC8">
        <w:rPr>
          <w:rFonts w:ascii="Palatino Linotype" w:eastAsia="Arial Unicode MS" w:hAnsi="Palatino Linotype"/>
          <w:sz w:val="24"/>
          <w:szCs w:val="24"/>
          <w:bdr w:val="nil"/>
        </w:rPr>
        <w:t xml:space="preserve"> fue omiso en proporcionar una respuesta así como su informe justificado, luego entonces la ponencia debió de incorporar al estudio de la resolución lo correspondiente </w:t>
      </w:r>
      <w:r w:rsidR="008A3BC8">
        <w:rPr>
          <w:rFonts w:ascii="Palatino Linotype" w:eastAsia="Arial Unicode MS" w:hAnsi="Palatino Linotype"/>
          <w:sz w:val="24"/>
          <w:szCs w:val="24"/>
          <w:bdr w:val="nil"/>
        </w:rPr>
        <w:t>a la obligación de los Sujetos Obligados de documentar todos los actos de autoridad que realicen con motivo de sus funciones, atribuciones y competencias, tal como lo refiere el artículo 18 de la Ley de la materia.</w:t>
      </w:r>
    </w:p>
    <w:p w:rsidR="008A3BC8" w:rsidRDefault="008A3BC8" w:rsidP="008A3BC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8A3BC8" w:rsidRPr="008A3BC8" w:rsidRDefault="008A3BC8" w:rsidP="008A3BC8">
      <w:pPr>
        <w:pStyle w:val="Prrafodelista"/>
        <w:pBdr>
          <w:top w:val="nil"/>
          <w:left w:val="nil"/>
          <w:bottom w:val="nil"/>
          <w:right w:val="nil"/>
          <w:between w:val="nil"/>
          <w:bar w:val="nil"/>
        </w:pBdr>
        <w:spacing w:after="0" w:line="360" w:lineRule="auto"/>
        <w:ind w:left="567" w:right="616"/>
        <w:jc w:val="both"/>
        <w:rPr>
          <w:rFonts w:ascii="Palatino Linotype" w:eastAsia="Arial Unicode MS" w:hAnsi="Palatino Linotype"/>
          <w:i/>
          <w:bdr w:val="nil"/>
        </w:rPr>
      </w:pPr>
      <w:r w:rsidRPr="008A3BC8">
        <w:rPr>
          <w:rFonts w:ascii="Palatino Linotype" w:eastAsia="Arial Unicode MS" w:hAnsi="Palatino Linotype"/>
          <w:i/>
          <w:bdr w:val="nil"/>
        </w:rPr>
        <w:t>Artículo 18. Los sujetos obligados deberán documentar todo acto que derive del ejercicio de sus facultades, competencias o funciones, considerando desde su origen la eventual publicidad y reutilización de la información que generen</w:t>
      </w:r>
      <w:r>
        <w:rPr>
          <w:rFonts w:ascii="Palatino Linotype" w:eastAsia="Arial Unicode MS" w:hAnsi="Palatino Linotype"/>
          <w:i/>
          <w:bdr w:val="nil"/>
        </w:rPr>
        <w:t>.</w:t>
      </w:r>
    </w:p>
    <w:p w:rsidR="008A3BC8" w:rsidRPr="008A3BC8" w:rsidRDefault="008A3BC8" w:rsidP="008A3BC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D449BF" w:rsidRDefault="008A3BC8" w:rsidP="003F100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Ahora bien, la información que le fue requerida al </w:t>
      </w:r>
      <w:r w:rsidRPr="00872E88">
        <w:rPr>
          <w:rFonts w:ascii="Palatino Linotype" w:eastAsia="Arial Unicode MS" w:hAnsi="Palatino Linotype"/>
          <w:b/>
          <w:sz w:val="24"/>
          <w:szCs w:val="24"/>
          <w:bdr w:val="nil"/>
        </w:rPr>
        <w:t>SUJETO OBLIGADO</w:t>
      </w:r>
      <w:r>
        <w:rPr>
          <w:rFonts w:ascii="Palatino Linotype" w:eastAsia="Arial Unicode MS" w:hAnsi="Palatino Linotype"/>
          <w:sz w:val="24"/>
          <w:szCs w:val="24"/>
          <w:bdr w:val="nil"/>
        </w:rPr>
        <w:t xml:space="preserve"> se conside</w:t>
      </w:r>
      <w:r w:rsidR="00872E88">
        <w:rPr>
          <w:rFonts w:ascii="Palatino Linotype" w:eastAsia="Arial Unicode MS" w:hAnsi="Palatino Linotype"/>
          <w:sz w:val="24"/>
          <w:szCs w:val="24"/>
          <w:bdr w:val="nil"/>
        </w:rPr>
        <w:t>ra como un acto de autoridad, toda vez que forma parte de las atribuciones</w:t>
      </w:r>
      <w:r w:rsidR="00C703BE">
        <w:rPr>
          <w:rFonts w:ascii="Palatino Linotype" w:eastAsia="Arial Unicode MS" w:hAnsi="Palatino Linotype"/>
          <w:sz w:val="24"/>
          <w:szCs w:val="24"/>
          <w:bdr w:val="nil"/>
        </w:rPr>
        <w:t xml:space="preserve"> con las que cuenta la Secretarí</w:t>
      </w:r>
      <w:r w:rsidR="00872E88">
        <w:rPr>
          <w:rFonts w:ascii="Palatino Linotype" w:eastAsia="Arial Unicode MS" w:hAnsi="Palatino Linotype"/>
          <w:sz w:val="24"/>
          <w:szCs w:val="24"/>
          <w:bdr w:val="nil"/>
        </w:rPr>
        <w:t>a de Actos y Acuerdo</w:t>
      </w:r>
      <w:r w:rsidR="00C703BE">
        <w:rPr>
          <w:rFonts w:ascii="Palatino Linotype" w:eastAsia="Arial Unicode MS" w:hAnsi="Palatino Linotype"/>
          <w:sz w:val="24"/>
          <w:szCs w:val="24"/>
          <w:bdr w:val="nil"/>
        </w:rPr>
        <w:t>s</w:t>
      </w:r>
      <w:r w:rsidR="00872E88">
        <w:rPr>
          <w:rFonts w:ascii="Palatino Linotype" w:eastAsia="Arial Unicode MS" w:hAnsi="Palatino Linotype"/>
          <w:sz w:val="24"/>
          <w:szCs w:val="24"/>
          <w:bdr w:val="nil"/>
        </w:rPr>
        <w:t xml:space="preserve"> del ATASCECyTEM, según lo estipulado en el art</w:t>
      </w:r>
      <w:r w:rsidR="00C703BE">
        <w:rPr>
          <w:rFonts w:ascii="Palatino Linotype" w:eastAsia="Arial Unicode MS" w:hAnsi="Palatino Linotype"/>
          <w:sz w:val="24"/>
          <w:szCs w:val="24"/>
          <w:bdr w:val="nil"/>
        </w:rPr>
        <w:t>ículo 31 de los Estatutos.</w:t>
      </w:r>
    </w:p>
    <w:p w:rsidR="00872E88" w:rsidRDefault="00872E88" w:rsidP="00872E8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872E88" w:rsidRPr="00C703BE" w:rsidRDefault="00872E88" w:rsidP="00C703BE">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872E88">
        <w:rPr>
          <w:rFonts w:ascii="Palatino Linotype" w:eastAsia="Arial Unicode MS" w:hAnsi="Palatino Linotype"/>
          <w:sz w:val="24"/>
          <w:szCs w:val="24"/>
          <w:bdr w:val="nil"/>
        </w:rPr>
        <w:t xml:space="preserve">Luego entonces, no debe perderse de vista que </w:t>
      </w:r>
      <w:r w:rsidR="00C703BE">
        <w:rPr>
          <w:rFonts w:ascii="Palatino Linotype" w:eastAsia="Arial Unicode MS" w:hAnsi="Palatino Linotype"/>
          <w:sz w:val="24"/>
          <w:szCs w:val="24"/>
          <w:bdr w:val="nil"/>
        </w:rPr>
        <w:t xml:space="preserve">la particular tiene el interés de </w:t>
      </w:r>
      <w:r w:rsidR="00C703BE" w:rsidRPr="00872E88">
        <w:rPr>
          <w:rFonts w:ascii="Palatino Linotype" w:eastAsia="Arial Unicode MS" w:hAnsi="Palatino Linotype"/>
          <w:sz w:val="24"/>
          <w:szCs w:val="24"/>
          <w:bdr w:val="nil"/>
        </w:rPr>
        <w:t>acceder a la documental</w:t>
      </w:r>
      <w:r w:rsidR="00C703BE">
        <w:rPr>
          <w:rFonts w:ascii="Palatino Linotype" w:eastAsia="Arial Unicode MS" w:hAnsi="Palatino Linotype"/>
          <w:sz w:val="24"/>
          <w:szCs w:val="24"/>
          <w:bdr w:val="nil"/>
        </w:rPr>
        <w:t xml:space="preserve"> donde conste la información, misma que está relacionada con</w:t>
      </w:r>
      <w:r w:rsidRPr="00C703BE">
        <w:rPr>
          <w:rFonts w:ascii="Palatino Linotype" w:eastAsia="Arial Unicode MS" w:hAnsi="Palatino Linotype"/>
          <w:sz w:val="24"/>
          <w:szCs w:val="24"/>
          <w:bdr w:val="nil"/>
        </w:rPr>
        <w:t xml:space="preserve"> el actuar del </w:t>
      </w:r>
      <w:r w:rsidRPr="00C703BE">
        <w:rPr>
          <w:rFonts w:ascii="Palatino Linotype" w:eastAsia="Arial Unicode MS" w:hAnsi="Palatino Linotype"/>
          <w:b/>
          <w:sz w:val="24"/>
          <w:szCs w:val="24"/>
          <w:bdr w:val="nil"/>
        </w:rPr>
        <w:t>SUJETO OBLIGADO</w:t>
      </w:r>
      <w:r w:rsidRPr="00C703BE">
        <w:rPr>
          <w:rFonts w:ascii="Palatino Linotype" w:eastAsia="Arial Unicode MS" w:hAnsi="Palatino Linotype"/>
          <w:sz w:val="24"/>
          <w:szCs w:val="24"/>
          <w:bdr w:val="nil"/>
        </w:rPr>
        <w:t xml:space="preserve"> en cuanto a las atribuciones que este tiene encomendadas y que son susceptibles al escrutinio público, </w:t>
      </w:r>
      <w:r w:rsidR="00C703BE">
        <w:rPr>
          <w:rFonts w:ascii="Palatino Linotype" w:eastAsia="Arial Unicode MS" w:hAnsi="Palatino Linotype"/>
          <w:sz w:val="24"/>
          <w:szCs w:val="24"/>
          <w:bdr w:val="nil"/>
        </w:rPr>
        <w:t xml:space="preserve">por lo tanto </w:t>
      </w:r>
      <w:r w:rsidRPr="00C703BE">
        <w:rPr>
          <w:rFonts w:ascii="Palatino Linotype" w:eastAsia="Arial Unicode MS" w:hAnsi="Palatino Linotype"/>
          <w:sz w:val="24"/>
          <w:szCs w:val="24"/>
          <w:bdr w:val="nil"/>
        </w:rPr>
        <w:t>de acuerdo al contenido del artículo</w:t>
      </w:r>
      <w:r w:rsidR="00C703BE" w:rsidRPr="00C703BE">
        <w:rPr>
          <w:rFonts w:ascii="Palatino Linotype" w:eastAsia="Arial Unicode MS" w:hAnsi="Palatino Linotype"/>
          <w:sz w:val="24"/>
          <w:szCs w:val="24"/>
          <w:bdr w:val="nil"/>
        </w:rPr>
        <w:t xml:space="preserve"> 166 de la Ley de</w:t>
      </w:r>
      <w:r w:rsidRPr="00C703BE">
        <w:rPr>
          <w:rFonts w:ascii="Palatino Linotype" w:eastAsia="Arial Unicode MS" w:hAnsi="Palatino Linotype"/>
          <w:sz w:val="24"/>
          <w:szCs w:val="24"/>
          <w:bdr w:val="nil"/>
        </w:rPr>
        <w:t xml:space="preserve"> la materia establece que el derecho esta colmado con la entrega de documento donde conste la información</w:t>
      </w:r>
      <w:r w:rsidR="00326F89">
        <w:rPr>
          <w:rFonts w:ascii="Palatino Linotype" w:eastAsia="Arial Unicode MS" w:hAnsi="Palatino Linotype"/>
          <w:sz w:val="24"/>
          <w:szCs w:val="24"/>
          <w:bdr w:val="nil"/>
        </w:rPr>
        <w:t>, situación que ocurrió, sino que esta fue clasificada por considerar que no es materia de transparencia.</w:t>
      </w:r>
    </w:p>
    <w:p w:rsidR="00872E88" w:rsidRPr="00872E88" w:rsidRDefault="00872E88" w:rsidP="00872E88">
      <w:pPr>
        <w:pStyle w:val="Prrafodelista"/>
        <w:rPr>
          <w:rFonts w:ascii="Palatino Linotype" w:eastAsia="Arial Unicode MS" w:hAnsi="Palatino Linotype"/>
          <w:sz w:val="24"/>
          <w:szCs w:val="24"/>
          <w:bdr w:val="nil"/>
        </w:rPr>
      </w:pPr>
    </w:p>
    <w:p w:rsidR="00872E88" w:rsidRDefault="00C703BE" w:rsidP="00C703BE">
      <w:pPr>
        <w:pBdr>
          <w:top w:val="nil"/>
          <w:left w:val="nil"/>
          <w:bottom w:val="nil"/>
          <w:right w:val="nil"/>
          <w:between w:val="nil"/>
          <w:bar w:val="nil"/>
        </w:pBdr>
        <w:spacing w:after="0" w:line="360" w:lineRule="auto"/>
        <w:ind w:left="567" w:right="616"/>
        <w:jc w:val="both"/>
        <w:rPr>
          <w:rFonts w:ascii="Palatino Linotype" w:hAnsi="Palatino Linotype"/>
          <w:i/>
        </w:rPr>
      </w:pPr>
      <w:r w:rsidRPr="00C703BE">
        <w:rPr>
          <w:rFonts w:ascii="Palatino Linotype" w:eastAsia="Arial Unicode MS" w:hAnsi="Palatino Linotype"/>
          <w:i/>
          <w:bdr w:val="nil"/>
        </w:rPr>
        <w:t xml:space="preserve">Artículo 166. </w:t>
      </w:r>
      <w:r w:rsidRPr="00C703BE">
        <w:rPr>
          <w:rFonts w:ascii="Palatino Linotype" w:hAnsi="Palatino Linotype"/>
          <w:i/>
        </w:rPr>
        <w:t xml:space="preserve">La </w:t>
      </w:r>
      <w:r w:rsidRPr="00C703BE">
        <w:rPr>
          <w:rFonts w:ascii="Palatino Linotype" w:hAnsi="Palatino Linotype"/>
          <w:i/>
          <w:u w:val="single"/>
        </w:rPr>
        <w:t>obligación de acceso a la información pública se tendrá por cumplida cuando el solicitante tenga a su disposición la información requerida</w:t>
      </w:r>
      <w:r w:rsidRPr="00C703BE">
        <w:rPr>
          <w:rFonts w:ascii="Palatino Linotype" w:hAnsi="Palatino Linotype"/>
          <w:i/>
        </w:rPr>
        <w:t>, o cuando realice la consulta de la misma en el lugar en el que ésta se localice.</w:t>
      </w:r>
    </w:p>
    <w:p w:rsidR="00C703BE" w:rsidRPr="00C703BE" w:rsidRDefault="00C703BE" w:rsidP="00C703BE">
      <w:pPr>
        <w:pBdr>
          <w:top w:val="nil"/>
          <w:left w:val="nil"/>
          <w:bottom w:val="nil"/>
          <w:right w:val="nil"/>
          <w:between w:val="nil"/>
          <w:bar w:val="nil"/>
        </w:pBdr>
        <w:spacing w:after="0" w:line="360" w:lineRule="auto"/>
        <w:ind w:left="567" w:right="616"/>
        <w:jc w:val="both"/>
        <w:rPr>
          <w:rFonts w:ascii="Palatino Linotype" w:eastAsia="Arial Unicode MS" w:hAnsi="Palatino Linotype"/>
          <w:i/>
          <w:bdr w:val="nil"/>
        </w:rPr>
      </w:pPr>
      <w:r>
        <w:rPr>
          <w:rFonts w:ascii="Palatino Linotype" w:eastAsia="Arial Unicode MS" w:hAnsi="Palatino Linotype"/>
          <w:i/>
          <w:bdr w:val="nil"/>
        </w:rPr>
        <w:t>…</w:t>
      </w:r>
    </w:p>
    <w:p w:rsidR="00326F89" w:rsidRDefault="00326F89" w:rsidP="00326F89">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326F89" w:rsidRDefault="00326F89" w:rsidP="003F100C">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lastRenderedPageBreak/>
        <w:t>Dicho lo anterior la Ponencia debió ordenar la entrega de la información en versión pública y no decir que esta no está sujeta a ser transparentada al no tratarse d</w:t>
      </w:r>
      <w:r w:rsidRPr="00326F89">
        <w:rPr>
          <w:rFonts w:ascii="Palatino Linotype" w:eastAsia="Arial Unicode MS" w:hAnsi="Palatino Linotype" w:cs="Arial"/>
          <w:sz w:val="24"/>
          <w:szCs w:val="24"/>
          <w:lang w:eastAsia="es-ES"/>
        </w:rPr>
        <w:t>el ejercicio de recursos públicos, ni la realización de actos de autoridad</w:t>
      </w:r>
      <w:r>
        <w:rPr>
          <w:rFonts w:ascii="Palatino Linotype" w:eastAsia="Arial Unicode MS" w:hAnsi="Palatino Linotype"/>
          <w:sz w:val="24"/>
          <w:szCs w:val="24"/>
          <w:bdr w:val="nil"/>
        </w:rPr>
        <w:t>; la pregunta que su surge es ¿sino es un acto de autoridad, entonces cómo se le define el actuar del Sujeto Obligado?</w:t>
      </w:r>
    </w:p>
    <w:p w:rsidR="00CB1589" w:rsidRDefault="00CB1589" w:rsidP="00CB1589">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326F89" w:rsidRPr="005B1EA8" w:rsidRDefault="005B1EA8" w:rsidP="005B1EA8">
      <w:pPr>
        <w:pStyle w:val="Ttulo1"/>
        <w:numPr>
          <w:ilvl w:val="0"/>
          <w:numId w:val="2"/>
        </w:numPr>
        <w:ind w:left="709"/>
        <w:rPr>
          <w:rFonts w:ascii="Palatino Linotype" w:eastAsia="Arial Unicode MS" w:hAnsi="Palatino Linotype"/>
          <w:b/>
          <w:color w:val="auto"/>
          <w:sz w:val="24"/>
          <w:szCs w:val="24"/>
          <w:bdr w:val="nil"/>
        </w:rPr>
      </w:pPr>
      <w:bookmarkStart w:id="5" w:name="_Toc3911803"/>
      <w:r w:rsidRPr="005B1EA8">
        <w:rPr>
          <w:rFonts w:ascii="Palatino Linotype" w:eastAsia="Arial Unicode MS" w:hAnsi="Palatino Linotype"/>
          <w:b/>
          <w:color w:val="auto"/>
          <w:sz w:val="24"/>
          <w:szCs w:val="24"/>
          <w:bdr w:val="nil"/>
        </w:rPr>
        <w:t>De la impugnación en Vía de Juicio de Amparo</w:t>
      </w:r>
      <w:bookmarkEnd w:id="5"/>
    </w:p>
    <w:p w:rsidR="00CB1589" w:rsidRDefault="00CB1589" w:rsidP="00326F89">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5B1EA8" w:rsidRDefault="005B1EA8" w:rsidP="005B1EA8">
      <w:pPr>
        <w:pStyle w:val="Prrafodelista"/>
        <w:numPr>
          <w:ilvl w:val="0"/>
          <w:numId w:val="1"/>
        </w:numPr>
        <w:spacing w:before="240" w:after="240" w:line="360" w:lineRule="auto"/>
        <w:ind w:left="0" w:firstLine="0"/>
        <w:jc w:val="both"/>
        <w:rPr>
          <w:rFonts w:ascii="Palatino Linotype" w:hAnsi="Palatino Linotype" w:cs="Arial"/>
          <w:sz w:val="24"/>
          <w:szCs w:val="24"/>
        </w:rPr>
      </w:pPr>
      <w:r>
        <w:rPr>
          <w:rFonts w:ascii="Palatino Linotype" w:eastAsia="Times New Roman" w:hAnsi="Palatino Linotype" w:cs="Arial"/>
          <w:sz w:val="24"/>
          <w:szCs w:val="24"/>
        </w:rPr>
        <w:t>E</w:t>
      </w:r>
      <w:r w:rsidRPr="0037358E">
        <w:rPr>
          <w:rFonts w:ascii="Palatino Linotype" w:eastAsia="Times New Roman" w:hAnsi="Palatino Linotype" w:cs="Arial"/>
          <w:sz w:val="24"/>
          <w:szCs w:val="24"/>
        </w:rPr>
        <w:t xml:space="preserve">n su resolutivo </w:t>
      </w:r>
      <w:r>
        <w:rPr>
          <w:rFonts w:ascii="Palatino Linotype" w:eastAsia="Times New Roman" w:hAnsi="Palatino Linotype" w:cs="Arial"/>
          <w:sz w:val="24"/>
          <w:szCs w:val="24"/>
        </w:rPr>
        <w:t xml:space="preserve">quinto </w:t>
      </w:r>
      <w:r w:rsidRPr="0037358E">
        <w:rPr>
          <w:rFonts w:ascii="Palatino Linotype" w:eastAsia="Times New Roman" w:hAnsi="Palatino Linotype" w:cs="Arial"/>
          <w:sz w:val="24"/>
          <w:szCs w:val="24"/>
        </w:rPr>
        <w:t>informa a</w:t>
      </w:r>
      <w:r>
        <w:rPr>
          <w:rFonts w:ascii="Palatino Linotype" w:eastAsia="Times New Roman" w:hAnsi="Palatino Linotype" w:cs="Arial"/>
          <w:sz w:val="24"/>
          <w:szCs w:val="24"/>
        </w:rPr>
        <w:t>l recurrente que, de “conformidad con lo establecido en el artículo 196 de la Ley de Trasparencia y Acceso a la Información Pública del Estado de México y Municipios, podrá impugnarla vía Juicio de Amparo en los términos de las leyes aplicables”</w:t>
      </w:r>
      <w:r w:rsidRPr="0037358E">
        <w:rPr>
          <w:rFonts w:ascii="Palatino Linotype" w:hAnsi="Palatino Linotype" w:cs="Arial"/>
          <w:sz w:val="24"/>
          <w:szCs w:val="24"/>
        </w:rPr>
        <w:t xml:space="preserve">. Sobre dicho resolutivo es que me aparto </w:t>
      </w:r>
      <w:r>
        <w:rPr>
          <w:rFonts w:ascii="Palatino Linotype" w:hAnsi="Palatino Linotype" w:cs="Arial"/>
          <w:sz w:val="24"/>
          <w:szCs w:val="24"/>
        </w:rPr>
        <w:t xml:space="preserve">del resto de mis compañeros comisionados integrantes del pleno, </w:t>
      </w:r>
      <w:r w:rsidRPr="0037358E">
        <w:rPr>
          <w:rFonts w:ascii="Palatino Linotype" w:hAnsi="Palatino Linotype" w:cs="Arial"/>
          <w:sz w:val="24"/>
          <w:szCs w:val="24"/>
        </w:rPr>
        <w:t xml:space="preserve">ya que si bien esa fórmula es generalmente empleada en las resoluciones, resulta ser una decisión inadecuada para </w:t>
      </w:r>
      <w:r>
        <w:rPr>
          <w:rFonts w:ascii="Palatino Linotype" w:hAnsi="Palatino Linotype" w:cs="Arial"/>
          <w:sz w:val="24"/>
          <w:szCs w:val="24"/>
        </w:rPr>
        <w:t xml:space="preserve">el presente caso en particular toda vez que los sindicatos como personas morales, tienen derecho a la justicia.  </w:t>
      </w:r>
    </w:p>
    <w:p w:rsidR="005B1EA8" w:rsidRDefault="005B1EA8" w:rsidP="005B1EA8">
      <w:pPr>
        <w:pStyle w:val="Prrafodelista"/>
        <w:spacing w:before="240" w:after="240" w:line="360" w:lineRule="auto"/>
        <w:ind w:left="0"/>
        <w:jc w:val="both"/>
        <w:rPr>
          <w:rFonts w:ascii="Palatino Linotype" w:hAnsi="Palatino Linotype" w:cs="Arial"/>
          <w:sz w:val="24"/>
          <w:szCs w:val="24"/>
        </w:rPr>
      </w:pPr>
    </w:p>
    <w:p w:rsidR="005B1EA8" w:rsidRPr="005B1EA8" w:rsidRDefault="005B1EA8" w:rsidP="005B1EA8">
      <w:pPr>
        <w:pStyle w:val="Prrafodelista"/>
        <w:numPr>
          <w:ilvl w:val="0"/>
          <w:numId w:val="1"/>
        </w:numPr>
        <w:spacing w:before="240" w:after="240" w:line="360" w:lineRule="auto"/>
        <w:ind w:left="0" w:firstLine="0"/>
        <w:jc w:val="both"/>
        <w:rPr>
          <w:rFonts w:ascii="Palatino Linotype" w:hAnsi="Palatino Linotype" w:cs="Arial"/>
          <w:sz w:val="24"/>
          <w:szCs w:val="24"/>
        </w:rPr>
      </w:pPr>
      <w:r w:rsidRPr="005B1EA8">
        <w:rPr>
          <w:rFonts w:ascii="Palatino Linotype" w:eastAsia="Arial Unicode MS" w:hAnsi="Palatino Linotype"/>
          <w:sz w:val="24"/>
          <w:szCs w:val="24"/>
          <w:bdr w:val="nil"/>
        </w:rPr>
        <w:t xml:space="preserve">El séptimo párrafo de la fracción VIII del artículo sexto de la Constitución Política de los Estados Unidos Mexicanos establece que “las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w:t>
      </w:r>
      <w:r w:rsidRPr="005B1EA8">
        <w:rPr>
          <w:rFonts w:ascii="Palatino Linotype" w:eastAsia="Arial Unicode MS" w:hAnsi="Palatino Linotype"/>
          <w:sz w:val="24"/>
          <w:szCs w:val="24"/>
          <w:bdr w:val="nil"/>
        </w:rPr>
        <w:lastRenderedPageBreak/>
        <w:t xml:space="preserve">Acceso a la Información Pública y del artículo 119 de la Ley de Transparencia y Acceso a la Información Pública del Estado de México. </w:t>
      </w:r>
    </w:p>
    <w:p w:rsidR="005B1EA8" w:rsidRPr="005B1EA8" w:rsidRDefault="005B1EA8" w:rsidP="005B1EA8">
      <w:pPr>
        <w:pStyle w:val="Prrafodelista"/>
        <w:pBdr>
          <w:top w:val="nil"/>
          <w:left w:val="nil"/>
          <w:bottom w:val="nil"/>
          <w:right w:val="nil"/>
          <w:between w:val="nil"/>
          <w:bar w:val="nil"/>
        </w:pBdr>
        <w:spacing w:after="0" w:line="360" w:lineRule="auto"/>
        <w:ind w:left="360"/>
        <w:jc w:val="both"/>
        <w:rPr>
          <w:rFonts w:ascii="Palatino Linotype" w:eastAsia="Arial Unicode MS" w:hAnsi="Palatino Linotype"/>
          <w:sz w:val="24"/>
          <w:szCs w:val="24"/>
          <w:bdr w:val="nil"/>
        </w:rPr>
      </w:pPr>
    </w:p>
    <w:p w:rsidR="005B1EA8" w:rsidRP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 xml:space="preserve">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  ya que el Sujeto Obligado no puede impugnar la determinación adoptada y, en consecuencia, se encuentra obligado a dar total cumplimiento a lo ordenado. </w:t>
      </w:r>
    </w:p>
    <w:p w:rsidR="005B1EA8" w:rsidRPr="005B1EA8" w:rsidRDefault="005B1EA8" w:rsidP="005B1EA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5B1EA8" w:rsidRP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5B1EA8" w:rsidRPr="005B1EA8" w:rsidRDefault="005B1EA8" w:rsidP="005B1EA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 xml:space="preserve">Es así que Pedro Salazar Ugarte ha señalado respecto al tema tomando como ejemplo las resoluciones del Instituto Nacional de Transparencia, Acceso a la </w:t>
      </w:r>
      <w:r w:rsidRPr="005B1EA8">
        <w:rPr>
          <w:rFonts w:ascii="Palatino Linotype" w:eastAsia="Arial Unicode MS" w:hAnsi="Palatino Linotype"/>
          <w:sz w:val="24"/>
          <w:szCs w:val="24"/>
          <w:bdr w:val="nil"/>
        </w:rPr>
        <w:lastRenderedPageBreak/>
        <w:t xml:space="preserve">Información Pública y Protección de Datos Personales (INAI) antes IFAI  este tema  lo siguiente: </w:t>
      </w:r>
    </w:p>
    <w:p w:rsidR="005B1EA8" w:rsidRPr="005B1EA8" w:rsidRDefault="005B1EA8" w:rsidP="005B1EA8">
      <w:pPr>
        <w:pStyle w:val="Prrafodelista"/>
        <w:rPr>
          <w:rFonts w:ascii="Palatino Linotype" w:eastAsia="Arial Unicode MS" w:hAnsi="Palatino Linotype"/>
          <w:sz w:val="24"/>
          <w:szCs w:val="24"/>
          <w:bdr w:val="nil"/>
        </w:rPr>
      </w:pPr>
    </w:p>
    <w:p w:rsid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5B1EA8" w:rsidRPr="005B1EA8" w:rsidRDefault="005B1EA8" w:rsidP="005B1EA8">
      <w:pPr>
        <w:pStyle w:val="Prrafodelista"/>
        <w:rPr>
          <w:rFonts w:ascii="Palatino Linotype" w:eastAsia="Arial Unicode MS" w:hAnsi="Palatino Linotype"/>
          <w:sz w:val="24"/>
          <w:szCs w:val="24"/>
          <w:bdr w:val="nil"/>
        </w:rPr>
      </w:pPr>
    </w:p>
    <w:p w:rsid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5B1EA8" w:rsidRPr="005B1EA8" w:rsidRDefault="005B1EA8" w:rsidP="005B1EA8">
      <w:pPr>
        <w:pStyle w:val="Prrafodelista"/>
        <w:rPr>
          <w:rFonts w:ascii="Palatino Linotype" w:eastAsia="Arial Unicode MS" w:hAnsi="Palatino Linotype"/>
          <w:sz w:val="24"/>
          <w:szCs w:val="24"/>
          <w:bdr w:val="nil"/>
        </w:rPr>
      </w:pPr>
    </w:p>
    <w:p w:rsid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5B1EA8" w:rsidRPr="005B1EA8" w:rsidRDefault="005B1EA8" w:rsidP="005B1EA8">
      <w:pPr>
        <w:pStyle w:val="Prrafodelista"/>
        <w:rPr>
          <w:rFonts w:ascii="Palatino Linotype" w:eastAsia="Arial Unicode MS" w:hAnsi="Palatino Linotype"/>
          <w:sz w:val="24"/>
          <w:szCs w:val="24"/>
          <w:bdr w:val="nil"/>
        </w:rPr>
      </w:pPr>
    </w:p>
    <w:p w:rsid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lastRenderedPageBreak/>
        <w:t xml:space="preserve">Ahora la Constitución es clara en el sentido de que éstas tendrán un carácter vinculatorio, definitivo e inatacable, salvo en un supuesto especifico que tiene que ver con la seguridad nacional y que activa un procedimiento especial.” </w:t>
      </w:r>
    </w:p>
    <w:p w:rsidR="005B1EA8" w:rsidRPr="005B1EA8" w:rsidRDefault="005B1EA8" w:rsidP="005B1EA8">
      <w:pPr>
        <w:pStyle w:val="Prrafodelista"/>
        <w:rPr>
          <w:rFonts w:ascii="Palatino Linotype" w:eastAsia="Arial Unicode MS" w:hAnsi="Palatino Linotype"/>
          <w:sz w:val="24"/>
          <w:szCs w:val="24"/>
          <w:bdr w:val="nil"/>
        </w:rPr>
      </w:pPr>
    </w:p>
    <w:p w:rsidR="005B1EA8" w:rsidRPr="005B1EA8" w:rsidRDefault="005B1EA8" w:rsidP="005B1EA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5B1EA8" w:rsidRPr="005B1EA8" w:rsidRDefault="005B1EA8" w:rsidP="005B1EA8">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5B1EA8">
        <w:rPr>
          <w:rFonts w:ascii="Palatino Linotype" w:eastAsia="Arial Unicode MS" w:hAnsi="Palatino Linotype"/>
          <w:sz w:val="24"/>
          <w:szCs w:val="24"/>
          <w:bdr w:val="nil"/>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5B1EA8" w:rsidRPr="005B1EA8" w:rsidRDefault="005B1EA8" w:rsidP="005B1EA8">
      <w:pPr>
        <w:pStyle w:val="Ttulo2"/>
        <w:numPr>
          <w:ilvl w:val="0"/>
          <w:numId w:val="13"/>
        </w:numPr>
        <w:rPr>
          <w:rFonts w:ascii="Palatino Linotype" w:hAnsi="Palatino Linotype"/>
          <w:b/>
          <w:color w:val="auto"/>
          <w:sz w:val="24"/>
          <w:szCs w:val="24"/>
          <w:lang w:val="es-ES"/>
        </w:rPr>
      </w:pPr>
      <w:bookmarkStart w:id="6" w:name="_Toc1734636"/>
      <w:bookmarkStart w:id="7" w:name="_Toc3911804"/>
      <w:r w:rsidRPr="005B1EA8">
        <w:rPr>
          <w:rFonts w:ascii="Palatino Linotype" w:hAnsi="Palatino Linotype"/>
          <w:b/>
          <w:color w:val="auto"/>
          <w:sz w:val="24"/>
          <w:szCs w:val="24"/>
          <w:lang w:val="es-ES"/>
        </w:rPr>
        <w:t>La naturaleza de los Sujetos Obligados.</w:t>
      </w:r>
      <w:bookmarkEnd w:id="6"/>
      <w:bookmarkEnd w:id="7"/>
    </w:p>
    <w:p w:rsidR="005B1EA8" w:rsidRPr="005B1EA8" w:rsidRDefault="005B1EA8" w:rsidP="005B1EA8">
      <w:pPr>
        <w:pStyle w:val="Prrafodelista"/>
        <w:pBdr>
          <w:top w:val="nil"/>
          <w:left w:val="nil"/>
          <w:bottom w:val="nil"/>
          <w:right w:val="nil"/>
          <w:between w:val="nil"/>
          <w:bar w:val="nil"/>
        </w:pBdr>
        <w:spacing w:after="0" w:line="360" w:lineRule="auto"/>
        <w:ind w:left="360"/>
        <w:jc w:val="both"/>
        <w:rPr>
          <w:rFonts w:ascii="Palatino Linotype" w:eastAsia="Arial Unicode MS" w:hAnsi="Palatino Linotype"/>
          <w:sz w:val="24"/>
          <w:szCs w:val="24"/>
          <w:bdr w:val="nil"/>
        </w:rPr>
      </w:pPr>
    </w:p>
    <w:p w:rsidR="005B1EA8" w:rsidRDefault="005B1EA8" w:rsidP="005B1EA8">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5B1EA8" w:rsidRPr="005B1EA8" w:rsidRDefault="005B1EA8" w:rsidP="005B1EA8">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5B1EA8">
        <w:rPr>
          <w:rFonts w:ascii="Palatino Linotype" w:hAnsi="Palatino Linotype"/>
          <w:sz w:val="24"/>
          <w:szCs w:val="24"/>
        </w:rPr>
        <w:t>Así, con la reforma constitucional de febrero de dos mil catorce, se consideró a los Sindicatos como Sujetos Obligados, como de forma expresa lo señala la fracción I del inciso A del mismo artículo 6 de la Constitución Política de los Estados Unidos Mexicanos, dictando.</w:t>
      </w:r>
    </w:p>
    <w:p w:rsidR="005B1EA8" w:rsidRPr="005B1EA8" w:rsidRDefault="005B1EA8" w:rsidP="005B1EA8">
      <w:pPr>
        <w:spacing w:after="0" w:line="360" w:lineRule="auto"/>
        <w:jc w:val="both"/>
        <w:rPr>
          <w:rFonts w:ascii="Palatino Linotype" w:hAnsi="Palatino Linotype"/>
          <w:sz w:val="24"/>
          <w:szCs w:val="24"/>
        </w:rPr>
      </w:pPr>
    </w:p>
    <w:p w:rsidR="005B1EA8" w:rsidRPr="005B1EA8" w:rsidRDefault="005B1EA8" w:rsidP="005B1EA8">
      <w:pPr>
        <w:spacing w:after="0" w:line="360" w:lineRule="auto"/>
        <w:ind w:left="567" w:right="616"/>
        <w:jc w:val="both"/>
        <w:rPr>
          <w:rFonts w:ascii="Palatino Linotype" w:hAnsi="Palatino Linotype"/>
          <w:i/>
          <w:szCs w:val="24"/>
        </w:rPr>
      </w:pPr>
      <w:r w:rsidRPr="005B1EA8">
        <w:rPr>
          <w:rFonts w:ascii="Palatino Linotype" w:hAnsi="Palatino Linotype"/>
          <w:i/>
          <w:szCs w:val="24"/>
        </w:rPr>
        <w:t>“</w:t>
      </w:r>
      <w:r w:rsidRPr="005B1EA8">
        <w:rPr>
          <w:rFonts w:ascii="Palatino Linotype" w:hAnsi="Palatino Linotype"/>
          <w:b/>
          <w:i/>
          <w:szCs w:val="24"/>
        </w:rPr>
        <w:t>6.</w:t>
      </w:r>
      <w:r w:rsidRPr="005B1EA8">
        <w:rPr>
          <w:rFonts w:ascii="Palatino Linotype" w:hAnsi="Palatino Linotype"/>
          <w:i/>
          <w:szCs w:val="24"/>
        </w:rPr>
        <w:t xml:space="preserve"> </w:t>
      </w:r>
    </w:p>
    <w:p w:rsidR="005B1EA8" w:rsidRPr="005B1EA8" w:rsidRDefault="005B1EA8" w:rsidP="005B1EA8">
      <w:pPr>
        <w:spacing w:after="0" w:line="360" w:lineRule="auto"/>
        <w:ind w:left="567" w:right="616"/>
        <w:jc w:val="both"/>
        <w:rPr>
          <w:rFonts w:ascii="Palatino Linotype" w:hAnsi="Palatino Linotype"/>
          <w:i/>
          <w:szCs w:val="24"/>
        </w:rPr>
      </w:pPr>
      <w:r w:rsidRPr="005B1EA8">
        <w:rPr>
          <w:rFonts w:ascii="Palatino Linotype" w:hAnsi="Palatino Linotype"/>
          <w:i/>
          <w:szCs w:val="24"/>
        </w:rPr>
        <w:t>…</w:t>
      </w:r>
    </w:p>
    <w:p w:rsidR="005B1EA8" w:rsidRPr="005B1EA8" w:rsidRDefault="005B1EA8" w:rsidP="005B1EA8">
      <w:pPr>
        <w:spacing w:after="0" w:line="360" w:lineRule="auto"/>
        <w:ind w:left="567" w:right="616"/>
        <w:jc w:val="both"/>
        <w:rPr>
          <w:rFonts w:ascii="Palatino Linotype" w:hAnsi="Palatino Linotype"/>
          <w:b/>
          <w:i/>
          <w:szCs w:val="24"/>
        </w:rPr>
      </w:pPr>
      <w:r w:rsidRPr="005B1EA8">
        <w:rPr>
          <w:rFonts w:ascii="Palatino Linotype" w:hAnsi="Palatino Linotype"/>
          <w:b/>
          <w:i/>
          <w:szCs w:val="24"/>
        </w:rPr>
        <w:t>A.</w:t>
      </w:r>
    </w:p>
    <w:p w:rsidR="005B1EA8" w:rsidRPr="005B1EA8" w:rsidRDefault="005B1EA8" w:rsidP="005B1EA8">
      <w:pPr>
        <w:spacing w:after="0" w:line="360" w:lineRule="auto"/>
        <w:ind w:left="567" w:right="616"/>
        <w:jc w:val="both"/>
        <w:rPr>
          <w:rFonts w:ascii="Palatino Linotype" w:hAnsi="Palatino Linotype"/>
          <w:i/>
          <w:szCs w:val="24"/>
        </w:rPr>
      </w:pPr>
      <w:r w:rsidRPr="005B1EA8">
        <w:rPr>
          <w:rFonts w:ascii="Palatino Linotype" w:hAnsi="Palatino Linotype"/>
          <w:b/>
          <w:i/>
          <w:szCs w:val="24"/>
        </w:rPr>
        <w:t>I.</w:t>
      </w:r>
      <w:r w:rsidRPr="005B1EA8">
        <w:rPr>
          <w:rFonts w:ascii="Palatino Linotype" w:hAnsi="Palatino Linotype"/>
          <w:i/>
          <w:szCs w:val="24"/>
        </w:rPr>
        <w:t xml:space="preserve"> Toda la información en posesión de cualquier autoridad, entidad, órgano y organismo de los Poderes Ejecutivo, Legislativo y Judicial, órganos autónomos, partidos políticos, fideicomisos y fondos públicos, </w:t>
      </w:r>
      <w:r w:rsidRPr="005B1EA8">
        <w:rPr>
          <w:rFonts w:ascii="Palatino Linotype" w:hAnsi="Palatino Linotype"/>
          <w:b/>
          <w:i/>
          <w:szCs w:val="24"/>
        </w:rPr>
        <w:t xml:space="preserve">así como de cualquier persona física, moral o </w:t>
      </w:r>
      <w:r w:rsidRPr="005B1EA8">
        <w:rPr>
          <w:rFonts w:ascii="Palatino Linotype" w:hAnsi="Palatino Linotype"/>
          <w:b/>
          <w:i/>
          <w:szCs w:val="24"/>
        </w:rPr>
        <w:lastRenderedPageBreak/>
        <w:t>sindicato que reciba y ejerza recursos públicos o realice actos de autoridad en el ámbito federal, estatal y municipal</w:t>
      </w:r>
      <w:r w:rsidRPr="005B1EA8">
        <w:rPr>
          <w:rFonts w:ascii="Palatino Linotype" w:hAnsi="Palatino Linotype"/>
          <w:i/>
          <w:szCs w:val="24"/>
        </w:rPr>
        <w:t>,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1EA8" w:rsidRPr="005B1EA8" w:rsidRDefault="005B1EA8" w:rsidP="005B1EA8">
      <w:pPr>
        <w:pStyle w:val="Prrafodelista"/>
        <w:numPr>
          <w:ilvl w:val="0"/>
          <w:numId w:val="1"/>
        </w:numPr>
        <w:spacing w:before="240" w:after="0" w:line="360" w:lineRule="auto"/>
        <w:ind w:left="0" w:firstLine="0"/>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Es decir,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lastRenderedPageBreak/>
        <w:t xml:space="preserve">Se tiene que persona </w:t>
      </w:r>
      <w:r w:rsidRPr="005B1EA8">
        <w:rPr>
          <w:rFonts w:ascii="Palatino Linotype" w:hAnsi="Palatino Linotype" w:cs="Arial"/>
          <w:i/>
          <w:color w:val="000000" w:themeColor="text1"/>
          <w:sz w:val="24"/>
          <w:szCs w:val="24"/>
          <w:lang w:val="es-ES"/>
        </w:rPr>
        <w:t>es “ 1. f. Individuo de la especie humana. 2. f. Hombre o mujer cuyo nombre se ignora o se omite….”</w:t>
      </w:r>
      <w:r w:rsidRPr="005B1EA8">
        <w:rPr>
          <w:rFonts w:ascii="Palatino Linotype" w:hAnsi="Palatino Linotype" w:cs="Arial"/>
          <w:color w:val="000000" w:themeColor="text1"/>
          <w:sz w:val="24"/>
          <w:szCs w:val="24"/>
          <w:lang w:val="es-ES"/>
        </w:rPr>
        <w:t xml:space="preserve"> mientras que por persona jurídica se ha señalado que deberá entenderse como la  </w:t>
      </w:r>
      <w:r w:rsidRPr="005B1EA8">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5B1EA8">
        <w:rPr>
          <w:rFonts w:ascii="Palatino Linotype" w:hAnsi="Palatino Linotype" w:cs="Arial"/>
          <w:color w:val="000000" w:themeColor="text1"/>
          <w:sz w:val="24"/>
          <w:szCs w:val="24"/>
          <w:lang w:val="es-ES"/>
        </w:rPr>
        <w:t xml:space="preserve">  Frente a estas dos figuras se tiene al ente público o autoridad, que se traduce en el “</w:t>
      </w:r>
      <w:r w:rsidRPr="005B1EA8">
        <w:rPr>
          <w:rFonts w:ascii="Palatino Linotype" w:hAnsi="Palatino Linotype" w:cs="Arial"/>
          <w:i/>
          <w:color w:val="000000" w:themeColor="text1"/>
          <w:sz w:val="24"/>
          <w:szCs w:val="24"/>
          <w:lang w:val="es-ES"/>
        </w:rPr>
        <w:t>1. f. Poder que gobierna o ejerce el mando, de hecho o de derecho.”</w:t>
      </w:r>
      <w:r w:rsidRPr="005B1EA8">
        <w:rPr>
          <w:rFonts w:ascii="Palatino Linotype" w:hAnsi="Palatino Linotype" w:cs="Arial"/>
          <w:i/>
          <w:color w:val="000000" w:themeColor="text1"/>
          <w:sz w:val="24"/>
          <w:szCs w:val="24"/>
          <w:vertAlign w:val="superscript"/>
          <w:lang w:val="es-ES"/>
        </w:rPr>
        <w:footnoteReference w:id="1"/>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Cs w:val="24"/>
          <w:lang w:val="es-ES"/>
        </w:rPr>
      </w:pPr>
      <w:r w:rsidRPr="005B1EA8">
        <w:rPr>
          <w:rFonts w:ascii="Palatino Linotype" w:hAnsi="Palatino Linotype" w:cs="Arial"/>
          <w:b/>
          <w:i/>
          <w:color w:val="000000" w:themeColor="text1"/>
          <w:szCs w:val="24"/>
          <w:lang w:val="es-ES"/>
        </w:rPr>
        <w:t>PRINCIPIO DE INTERPRETACIÓN MÁS FAVORABLE A LA PERSONA. ES APLICABLE RESPECTO DE LAS NORMAS RELATIVAS A LOS DERECHOS HUMANOS DE LOS QUE SEAN TITULARES LAS PERSONAS MORALES.</w:t>
      </w:r>
      <w:r w:rsidRPr="005B1EA8">
        <w:rPr>
          <w:rFonts w:ascii="Palatino Linotype" w:hAnsi="Palatino Linotype" w:cs="Arial"/>
          <w:i/>
          <w:color w:val="000000" w:themeColor="text1"/>
          <w:szCs w:val="24"/>
          <w:lang w:val="es-ES"/>
        </w:rPr>
        <w:t xml:space="preserve"> El </w:t>
      </w:r>
      <w:r w:rsidRPr="005B1EA8">
        <w:rPr>
          <w:rFonts w:ascii="Palatino Linotype" w:hAnsi="Palatino Linotype" w:cs="Arial"/>
          <w:i/>
          <w:color w:val="000000" w:themeColor="text1"/>
          <w:szCs w:val="24"/>
          <w:lang w:val="es-ES"/>
        </w:rPr>
        <w:lastRenderedPageBreak/>
        <w:t xml:space="preserve">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Cs w:val="24"/>
          <w:lang w:val="es-ES"/>
        </w:rPr>
      </w:pPr>
      <w:r w:rsidRPr="005B1EA8">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5B1EA8" w:rsidRPr="005B1EA8" w:rsidRDefault="005B1EA8" w:rsidP="005B1EA8">
      <w:pPr>
        <w:spacing w:before="240" w:after="0" w:line="360" w:lineRule="auto"/>
        <w:ind w:left="567" w:right="616"/>
        <w:contextualSpacing/>
        <w:jc w:val="both"/>
        <w:rPr>
          <w:rFonts w:ascii="Palatino Linotype" w:hAnsi="Palatino Linotype" w:cs="Arial"/>
          <w:color w:val="000000" w:themeColor="text1"/>
          <w:sz w:val="24"/>
          <w:szCs w:val="24"/>
          <w:lang w:val="es-ES"/>
        </w:rPr>
      </w:pP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Cs w:val="24"/>
          <w:lang w:val="es-ES"/>
        </w:rPr>
      </w:pPr>
      <w:r w:rsidRPr="005B1EA8">
        <w:rPr>
          <w:rFonts w:ascii="Palatino Linotype" w:hAnsi="Palatino Linotype" w:cs="Arial"/>
          <w:b/>
          <w:i/>
          <w:color w:val="000000" w:themeColor="text1"/>
          <w:szCs w:val="24"/>
          <w:lang w:val="es-ES"/>
        </w:rPr>
        <w:t xml:space="preserve">PERSONAS MORALES. SON SUSCEPTIBLES DE LA PROTECCIÓN DE LOS DERECHOS HUMANOS, AL ESTAR INTEGRADAS POR PERSONAS </w:t>
      </w:r>
      <w:r w:rsidRPr="005B1EA8">
        <w:rPr>
          <w:rFonts w:ascii="Palatino Linotype" w:hAnsi="Palatino Linotype" w:cs="Arial"/>
          <w:b/>
          <w:i/>
          <w:color w:val="000000" w:themeColor="text1"/>
          <w:szCs w:val="24"/>
          <w:lang w:val="es-ES"/>
        </w:rPr>
        <w:lastRenderedPageBreak/>
        <w:t>FÍSICAS Y POR TENER EL CARÁCTER DE PARTE EN EL JUICIO DE AMPARO.</w:t>
      </w:r>
      <w:r w:rsidRPr="005B1EA8">
        <w:rPr>
          <w:rFonts w:ascii="Palatino Linotype" w:hAnsi="Palatino Linotype" w:cs="Arial"/>
          <w:i/>
          <w:color w:val="000000" w:themeColor="text1"/>
          <w:szCs w:val="24"/>
          <w:lang w:val="es-ES"/>
        </w:rPr>
        <w:t xml:space="preserve"> De acuerdo con la interpretación convencional, podría considerarse que la titularidad de los derechos humanos únicamente corresponde a las personas físicas; sin embargo, la realidad jurídica evidencia que </w:t>
      </w:r>
      <w:r w:rsidRPr="005B1EA8">
        <w:rPr>
          <w:rFonts w:ascii="Palatino Linotype" w:hAnsi="Palatino Linotype" w:cs="Arial"/>
          <w:b/>
          <w:i/>
          <w:color w:val="000000" w:themeColor="text1"/>
          <w:szCs w:val="24"/>
          <w:lang w:val="es-ES"/>
        </w:rPr>
        <w:t>las personas morales o jurídicas también los adquieren, y son susceptibles de protección,</w:t>
      </w:r>
      <w:r w:rsidRPr="005B1EA8">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5B1EA8">
        <w:rPr>
          <w:rFonts w:ascii="Palatino Linotype" w:hAnsi="Palatino Linotype" w:cs="Arial"/>
          <w:b/>
          <w:i/>
          <w:color w:val="000000" w:themeColor="text1"/>
          <w:szCs w:val="24"/>
          <w:lang w:val="es-ES"/>
        </w:rPr>
        <w:t>entre los que destacan</w:t>
      </w:r>
      <w:r w:rsidRPr="005B1EA8">
        <w:rPr>
          <w:rFonts w:ascii="Palatino Linotype" w:hAnsi="Palatino Linotype" w:cs="Arial"/>
          <w:i/>
          <w:color w:val="000000" w:themeColor="text1"/>
          <w:szCs w:val="24"/>
          <w:lang w:val="es-ES"/>
        </w:rPr>
        <w:t xml:space="preserve"> los de propiedad, posesión, credo religioso, personalidad, </w:t>
      </w:r>
      <w:r w:rsidRPr="005B1EA8">
        <w:rPr>
          <w:rFonts w:ascii="Palatino Linotype" w:hAnsi="Palatino Linotype" w:cs="Arial"/>
          <w:b/>
          <w:i/>
          <w:color w:val="000000" w:themeColor="text1"/>
          <w:szCs w:val="24"/>
          <w:lang w:val="es-ES"/>
        </w:rPr>
        <w:t>acceso a la justicia,</w:t>
      </w:r>
      <w:r w:rsidRPr="005B1EA8">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Cs w:val="24"/>
          <w:lang w:val="es-ES"/>
        </w:rPr>
      </w:pPr>
      <w:r w:rsidRPr="005B1EA8">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Cs w:val="24"/>
          <w:lang w:val="es-ES"/>
        </w:rPr>
      </w:pPr>
      <w:r w:rsidRPr="005B1EA8">
        <w:rPr>
          <w:rFonts w:ascii="Palatino Linotype" w:hAnsi="Palatino Linotype" w:cs="Arial"/>
          <w:i/>
          <w:color w:val="000000" w:themeColor="text1"/>
          <w:szCs w:val="24"/>
          <w:lang w:val="es-ES"/>
        </w:rPr>
        <w:t>(Énfasis añadido)</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Atento a ello es muy importante puntualizar que, si bien es cierto que la reforma constitucional de febrero de 2014 el Derecho de Acceso a la Información cuenta con la ampliación del catálogo de sujetos obligados, también lo es que existen restricciones, toda vez que el respeto a éste derecho humano tiene como limitante el respeto a los entes privados.</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Esa disposición resulta totalmente coherente con</w:t>
      </w:r>
      <w:r w:rsidRPr="005B1EA8">
        <w:rPr>
          <w:rFonts w:ascii="Palatino Linotype" w:hAnsi="Palatino Linotype"/>
          <w:sz w:val="24"/>
          <w:szCs w:val="24"/>
          <w:lang w:val="es-ES_tradnl" w:eastAsia="es-ES_tradnl"/>
        </w:rPr>
        <w:t xml:space="preserve"> </w:t>
      </w:r>
      <w:r w:rsidRPr="005B1EA8">
        <w:rPr>
          <w:rFonts w:ascii="Palatino Linotype" w:hAnsi="Palatino Linotype" w:cs="Arial"/>
          <w:color w:val="000000" w:themeColor="text1"/>
          <w:sz w:val="24"/>
          <w:szCs w:val="24"/>
          <w:lang w:val="es-ES"/>
        </w:rPr>
        <w:t xml:space="preserve">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w:t>
      </w:r>
      <w:r w:rsidRPr="005B1EA8">
        <w:rPr>
          <w:rFonts w:ascii="Palatino Linotype" w:hAnsi="Palatino Linotype" w:cs="Arial"/>
          <w:color w:val="000000" w:themeColor="text1"/>
          <w:sz w:val="24"/>
          <w:szCs w:val="24"/>
          <w:lang w:val="es-ES"/>
        </w:rPr>
        <w:lastRenderedPageBreak/>
        <w:t>públicas” con la habilitación restringida considerada en la Ley de Amparo y que excluye a la materia cuya tutela se nos ha conferido.</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 w:val="24"/>
          <w:szCs w:val="24"/>
          <w:lang w:val="es-ES"/>
        </w:rPr>
      </w:pPr>
      <w:r w:rsidRPr="005B1EA8">
        <w:rPr>
          <w:rFonts w:ascii="Palatino Linotype" w:hAnsi="Palatino Linotype" w:cs="Arial"/>
          <w:i/>
          <w:color w:val="000000" w:themeColor="text1"/>
          <w:sz w:val="24"/>
          <w:szCs w:val="24"/>
          <w:lang w:val="es-ES"/>
        </w:rPr>
        <w:t xml:space="preserve">“100. Este Tribunal considera que el sentido de la protección otorgada por el artículo 25 de la Convención es la posibilidad real de acceder a un recurso judicial para que la autoridad competente y capaz de emitir una decisión vinculante determine si ha habido o no una violación a algún derecho que la persona que </w:t>
      </w:r>
      <w:r w:rsidRPr="005B1EA8">
        <w:rPr>
          <w:rFonts w:ascii="Palatino Linotype" w:hAnsi="Palatino Linotype" w:cs="Arial"/>
          <w:i/>
          <w:color w:val="000000" w:themeColor="text1"/>
          <w:sz w:val="24"/>
          <w:szCs w:val="24"/>
          <w:lang w:val="es-ES"/>
        </w:rPr>
        <w:lastRenderedPageBreak/>
        <w:t xml:space="preserve">reclama estima tener y que, en caso de ser encontrada una violación, el recurso sea útil para restituir al interesado en el goce de su derecho y repararlo. Seria irrazonable establecer dicha garantía judicial si se exigiera a los justiciables saber de antemano si su situación será́ estimada por el órgano judicial como amparada por un derecho especifico. </w:t>
      </w: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 w:val="24"/>
          <w:szCs w:val="24"/>
          <w:lang w:val="es-ES"/>
        </w:rPr>
      </w:pP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 w:val="24"/>
          <w:szCs w:val="24"/>
          <w:lang w:val="es-ES"/>
        </w:rPr>
      </w:pPr>
      <w:r w:rsidRPr="005B1EA8">
        <w:rPr>
          <w:rFonts w:ascii="Palatino Linotype" w:hAnsi="Palatino Linotype" w:cs="Arial"/>
          <w:i/>
          <w:color w:val="000000" w:themeColor="text1"/>
          <w:sz w:val="24"/>
          <w:szCs w:val="24"/>
          <w:lang w:val="es-ES"/>
        </w:rPr>
        <w:t>101. En razón de lo anterior, independientemente de si la autoridad judicial declarare infundado el reclamo de la persona que interpone el recurso por no estar cubierto por la norma que invoca o no encontrare una violación del derecho que se alega vulnerado, el Estado está obligado a proveer recursos efectivos que permitan a las personas impugnar aquellos actos de autoridad que consideren violatorios de sus derechos humanos previstos en la Convención, la Constitución o las leyes. En efecto, el artículo 25 de la Convención Americana establece el derecho a la protección judicial de los derechos consagrados por la Convención, la Constitución o las leyes, el cual puede ser violado independientemente de que exista o no una violación al derecho reclamado o de que la situación que le servía de sustento se encontraba dentro del campo de aplicación del derecho invocado. Ello debido a que al igual que el artículo 8, “el artículo 25 de la Convención también consagra el derecho de acceso a la justicia”.</w:t>
      </w:r>
      <w:r w:rsidRPr="005B1EA8">
        <w:rPr>
          <w:rFonts w:ascii="Palatino Linotype" w:hAnsi="Palatino Linotype" w:cs="Arial"/>
          <w:i/>
          <w:color w:val="000000" w:themeColor="text1"/>
          <w:sz w:val="24"/>
          <w:szCs w:val="24"/>
          <w:vertAlign w:val="superscript"/>
          <w:lang w:val="es-ES"/>
        </w:rPr>
        <w:footnoteReference w:id="2"/>
      </w:r>
    </w:p>
    <w:p w:rsidR="005B1EA8" w:rsidRPr="005B1EA8" w:rsidRDefault="005B1EA8" w:rsidP="005B1EA8">
      <w:pPr>
        <w:spacing w:before="240" w:after="0" w:line="360" w:lineRule="auto"/>
        <w:ind w:left="567" w:right="616"/>
        <w:contextualSpacing/>
        <w:jc w:val="both"/>
        <w:rPr>
          <w:rFonts w:ascii="Palatino Linotype" w:hAnsi="Palatino Linotype" w:cs="Arial"/>
          <w:i/>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lastRenderedPageBreak/>
        <w:t xml:space="preserve">En este sentido  se ha considerado que: </w:t>
      </w:r>
      <w:r w:rsidRPr="005B1EA8">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sidRPr="005B1EA8">
        <w:rPr>
          <w:rFonts w:ascii="Palatino Linotype" w:hAnsi="Palatino Linotype" w:cs="Arial"/>
          <w:color w:val="000000" w:themeColor="text1"/>
          <w:sz w:val="24"/>
          <w:szCs w:val="24"/>
          <w:lang w:val="es-ES"/>
        </w:rPr>
        <w:t>”</w:t>
      </w:r>
      <w:r w:rsidRPr="005B1EA8">
        <w:rPr>
          <w:rFonts w:ascii="Palatino Linotype" w:hAnsi="Palatino Linotype" w:cs="Arial"/>
          <w:color w:val="000000" w:themeColor="text1"/>
          <w:sz w:val="24"/>
          <w:szCs w:val="24"/>
          <w:vertAlign w:val="superscript"/>
          <w:lang w:val="es-ES"/>
        </w:rPr>
        <w:footnoteReference w:id="3"/>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pStyle w:val="Prrafodelista"/>
        <w:keepNext/>
        <w:keepLines/>
        <w:numPr>
          <w:ilvl w:val="0"/>
          <w:numId w:val="13"/>
        </w:numPr>
        <w:spacing w:before="240" w:after="0"/>
        <w:outlineLvl w:val="0"/>
        <w:rPr>
          <w:rFonts w:ascii="Palatino Linotype" w:eastAsiaTheme="majorEastAsia" w:hAnsi="Palatino Linotype" w:cstheme="majorBidi"/>
          <w:b/>
          <w:sz w:val="24"/>
          <w:szCs w:val="32"/>
          <w:lang w:val="es-ES"/>
        </w:rPr>
      </w:pPr>
      <w:bookmarkStart w:id="8" w:name="_Toc1734637"/>
      <w:bookmarkStart w:id="9" w:name="_Toc3911805"/>
      <w:r w:rsidRPr="005B1EA8">
        <w:rPr>
          <w:rFonts w:ascii="Palatino Linotype" w:eastAsiaTheme="majorEastAsia" w:hAnsi="Palatino Linotype" w:cstheme="majorBidi"/>
          <w:b/>
          <w:sz w:val="24"/>
          <w:szCs w:val="32"/>
          <w:lang w:val="es-ES"/>
        </w:rPr>
        <w:t>Problema y propuesta.</w:t>
      </w:r>
      <w:bookmarkEnd w:id="8"/>
      <w:bookmarkEnd w:id="9"/>
    </w:p>
    <w:p w:rsidR="005B1EA8" w:rsidRPr="005B1EA8" w:rsidRDefault="005B1EA8" w:rsidP="005B1EA8">
      <w:pPr>
        <w:rPr>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lastRenderedPageBreak/>
        <w:t>Por lo que al restringirse –en nuestra propia resolución–, el derecho de acceso a la justicia del</w:t>
      </w:r>
      <w:r w:rsidRPr="005B1EA8">
        <w:rPr>
          <w:rFonts w:ascii="Palatino Linotype" w:eastAsia="Times New Roman" w:hAnsi="Palatino Linotype" w:cs="Times New Roman"/>
          <w:b/>
          <w:sz w:val="24"/>
          <w:szCs w:val="24"/>
          <w:lang w:val="es-ES_tradnl" w:eastAsia="es-ES"/>
        </w:rPr>
        <w:t xml:space="preserve"> </w:t>
      </w:r>
      <w:r w:rsidRPr="005B1EA8">
        <w:rPr>
          <w:rFonts w:ascii="Palatino Linotype" w:hAnsi="Palatino Linotype" w:cs="Arial"/>
          <w:b/>
          <w:color w:val="000000" w:themeColor="text1"/>
          <w:sz w:val="24"/>
          <w:szCs w:val="24"/>
          <w:lang w:val="es-ES_tradnl"/>
        </w:rPr>
        <w:t>Agrupación de Trabajadores Académicos al Servicio del Colegio de Estudios Científicos y Tecnológicos del Estado de México</w:t>
      </w:r>
      <w:r w:rsidRPr="005B1EA8">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resoluciones con el principio constitucional más importante en materia de derechos humanos.</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lastRenderedPageBreak/>
        <w:t>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5B1EA8" w:rsidRPr="005B1EA8" w:rsidRDefault="005B1EA8" w:rsidP="005B1EA8">
      <w:pPr>
        <w:spacing w:before="240" w:after="0" w:line="360" w:lineRule="auto"/>
        <w:contextualSpacing/>
        <w:jc w:val="both"/>
        <w:rPr>
          <w:rFonts w:ascii="Palatino Linotype" w:hAnsi="Palatino Linotype" w:cs="Arial"/>
          <w:color w:val="000000" w:themeColor="text1"/>
          <w:sz w:val="24"/>
          <w:szCs w:val="24"/>
          <w:lang w:val="es-ES"/>
        </w:rPr>
      </w:pPr>
    </w:p>
    <w:p w:rsidR="005B1EA8" w:rsidRPr="005B1EA8" w:rsidRDefault="005B1EA8" w:rsidP="005B1EA8">
      <w:pPr>
        <w:numPr>
          <w:ilvl w:val="0"/>
          <w:numId w:val="1"/>
        </w:numPr>
        <w:spacing w:before="240" w:after="0" w:line="360" w:lineRule="auto"/>
        <w:ind w:left="0" w:firstLine="0"/>
        <w:contextualSpacing/>
        <w:jc w:val="both"/>
        <w:rPr>
          <w:rFonts w:ascii="Palatino Linotype" w:hAnsi="Palatino Linotype" w:cs="Arial"/>
          <w:color w:val="000000" w:themeColor="text1"/>
          <w:sz w:val="24"/>
          <w:szCs w:val="24"/>
          <w:lang w:val="es-ES"/>
        </w:rPr>
      </w:pPr>
      <w:r w:rsidRPr="005B1EA8">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5B1EA8">
        <w:rPr>
          <w:rFonts w:ascii="Palatino Linotype" w:hAnsi="Palatino Linotype" w:cs="Arial"/>
          <w:sz w:val="24"/>
          <w:szCs w:val="24"/>
        </w:rPr>
        <w:t>establece lo siguiente</w:t>
      </w:r>
      <w:r w:rsidRPr="005B1EA8">
        <w:rPr>
          <w:rFonts w:ascii="Palatino Linotype" w:hAnsi="Palatino Linotype" w:cs="Arial"/>
          <w:b/>
          <w:sz w:val="24"/>
          <w:szCs w:val="24"/>
        </w:rPr>
        <w:t>:</w:t>
      </w:r>
    </w:p>
    <w:p w:rsidR="005B1EA8" w:rsidRPr="005B1EA8" w:rsidRDefault="005B1EA8" w:rsidP="005B1EA8">
      <w:pPr>
        <w:contextualSpacing/>
        <w:rPr>
          <w:rFonts w:ascii="Palatino Linotype" w:hAnsi="Palatino Linotype" w:cs="Arial"/>
          <w:b/>
          <w:sz w:val="24"/>
          <w:szCs w:val="24"/>
        </w:rPr>
      </w:pPr>
    </w:p>
    <w:p w:rsidR="005B1EA8" w:rsidRPr="005B1EA8" w:rsidRDefault="005B1EA8" w:rsidP="005B1EA8">
      <w:pPr>
        <w:spacing w:after="0" w:line="360" w:lineRule="auto"/>
        <w:ind w:left="567" w:right="618"/>
        <w:contextualSpacing/>
        <w:jc w:val="both"/>
        <w:rPr>
          <w:rFonts w:ascii="Palatino Linotype" w:eastAsia="Times New Roman" w:hAnsi="Palatino Linotype" w:cs="Times New Roman"/>
          <w:i/>
          <w:sz w:val="32"/>
          <w:szCs w:val="24"/>
          <w:lang w:eastAsia="es-MX"/>
        </w:rPr>
      </w:pPr>
      <w:r w:rsidRPr="005B1EA8">
        <w:rPr>
          <w:rFonts w:ascii="Palatino Linotype" w:eastAsia="Times New Roman" w:hAnsi="Palatino Linotype" w:cs="Arial"/>
          <w:i/>
          <w:color w:val="222222"/>
          <w:szCs w:val="19"/>
          <w:shd w:val="clear" w:color="auto" w:fill="FFFFFF"/>
          <w:lang w:eastAsia="es-MX"/>
        </w:rPr>
        <w:t>“</w:t>
      </w:r>
      <w:r w:rsidRPr="005B1EA8">
        <w:rPr>
          <w:rFonts w:ascii="Palatino Linotype" w:eastAsia="Times New Roman" w:hAnsi="Palatino Linotype" w:cs="Arial"/>
          <w:b/>
          <w:i/>
          <w:color w:val="222222"/>
          <w:szCs w:val="19"/>
          <w:shd w:val="clear" w:color="auto" w:fill="FFFFFF"/>
          <w:lang w:eastAsia="es-MX"/>
        </w:rPr>
        <w:t>Artículo 56.-</w:t>
      </w:r>
      <w:r w:rsidRPr="005B1EA8">
        <w:rPr>
          <w:rFonts w:ascii="Palatino Linotype" w:eastAsia="Times New Roman" w:hAnsi="Palatino Linotype" w:cs="Arial"/>
          <w:i/>
          <w:color w:val="222222"/>
          <w:szCs w:val="19"/>
          <w:shd w:val="clear" w:color="auto" w:fill="FFFFFF"/>
          <w:lang w:eastAsia="es-MX"/>
        </w:rPr>
        <w:t xml:space="preserve"> Contra las resoluciones del Instituto, los particulares podrán promover el juicio de nulidad ante el Tribunal Federal de Justicia Fiscal y Administrativa. </w:t>
      </w:r>
    </w:p>
    <w:p w:rsidR="005B1EA8" w:rsidRPr="005B1EA8" w:rsidRDefault="005B1EA8" w:rsidP="005B1EA8">
      <w:pPr>
        <w:shd w:val="clear" w:color="auto" w:fill="FFFFFF"/>
        <w:spacing w:after="0" w:line="360" w:lineRule="auto"/>
        <w:ind w:left="567" w:right="618"/>
        <w:contextualSpacing/>
        <w:jc w:val="both"/>
        <w:rPr>
          <w:rFonts w:ascii="Palatino Linotype" w:eastAsia="Times New Roman" w:hAnsi="Palatino Linotype" w:cs="Arial"/>
          <w:i/>
          <w:color w:val="222222"/>
          <w:szCs w:val="19"/>
          <w:lang w:eastAsia="es-MX"/>
        </w:rPr>
      </w:pPr>
    </w:p>
    <w:p w:rsidR="005B1EA8" w:rsidRPr="005B1EA8" w:rsidRDefault="005B1EA8" w:rsidP="005B1EA8">
      <w:pPr>
        <w:shd w:val="clear" w:color="auto" w:fill="FFFFFF"/>
        <w:spacing w:after="0" w:line="360" w:lineRule="auto"/>
        <w:ind w:left="567" w:right="618"/>
        <w:contextualSpacing/>
        <w:jc w:val="both"/>
        <w:rPr>
          <w:rFonts w:ascii="Palatino Linotype" w:eastAsia="Times New Roman" w:hAnsi="Palatino Linotype" w:cs="Arial"/>
          <w:i/>
          <w:color w:val="222222"/>
          <w:szCs w:val="19"/>
          <w:lang w:eastAsia="es-MX"/>
        </w:rPr>
      </w:pPr>
      <w:r w:rsidRPr="005B1EA8">
        <w:rPr>
          <w:rFonts w:ascii="Palatino Linotype" w:eastAsia="Times New Roman" w:hAnsi="Palatino Linotype" w:cs="Arial"/>
          <w:b/>
          <w:i/>
          <w:color w:val="222222"/>
          <w:szCs w:val="19"/>
          <w:lang w:eastAsia="es-MX"/>
        </w:rPr>
        <w:t>Artículo 57.-</w:t>
      </w:r>
      <w:r w:rsidRPr="005B1EA8">
        <w:rPr>
          <w:rFonts w:ascii="Palatino Linotype" w:eastAsia="Times New Roman" w:hAnsi="Palatino Linotype" w:cs="Arial"/>
          <w:i/>
          <w:color w:val="222222"/>
          <w:szCs w:val="19"/>
          <w:lang w:eastAsia="es-MX"/>
        </w:rPr>
        <w:t xml:space="preserve"> Todas las resoluciones del Instituto serán susceptibles de difundirse públicamente en versiones públicas, eliminando aquellas referencias al titular de los datos que lo identifiquen o lo hagan identificable. </w:t>
      </w:r>
    </w:p>
    <w:p w:rsidR="005B1EA8" w:rsidRPr="005B1EA8" w:rsidRDefault="005B1EA8" w:rsidP="005B1EA8">
      <w:pPr>
        <w:shd w:val="clear" w:color="auto" w:fill="FFFFFF"/>
        <w:spacing w:after="0" w:line="360" w:lineRule="auto"/>
        <w:ind w:left="567" w:right="618"/>
        <w:contextualSpacing/>
        <w:jc w:val="both"/>
        <w:rPr>
          <w:rFonts w:ascii="Palatino Linotype" w:eastAsia="Times New Roman" w:hAnsi="Palatino Linotype" w:cs="Arial"/>
          <w:i/>
          <w:color w:val="222222"/>
          <w:szCs w:val="19"/>
          <w:lang w:eastAsia="es-MX"/>
        </w:rPr>
      </w:pPr>
    </w:p>
    <w:p w:rsidR="005B1EA8" w:rsidRPr="005B1EA8" w:rsidRDefault="005B1EA8" w:rsidP="005B1EA8">
      <w:pPr>
        <w:shd w:val="clear" w:color="auto" w:fill="FFFFFF"/>
        <w:spacing w:after="0" w:line="360" w:lineRule="auto"/>
        <w:ind w:left="567" w:right="618"/>
        <w:contextualSpacing/>
        <w:jc w:val="both"/>
        <w:rPr>
          <w:rFonts w:ascii="Palatino Linotype" w:eastAsia="Times New Roman" w:hAnsi="Palatino Linotype" w:cs="Arial"/>
          <w:i/>
          <w:color w:val="222222"/>
          <w:szCs w:val="19"/>
          <w:lang w:eastAsia="es-MX"/>
        </w:rPr>
      </w:pPr>
      <w:r w:rsidRPr="005B1EA8">
        <w:rPr>
          <w:rFonts w:ascii="Palatino Linotype" w:eastAsia="Times New Roman" w:hAnsi="Palatino Linotype" w:cs="Arial"/>
          <w:b/>
          <w:i/>
          <w:color w:val="222222"/>
          <w:szCs w:val="19"/>
          <w:lang w:eastAsia="es-MX"/>
        </w:rPr>
        <w:t xml:space="preserve">Artículo 58.- </w:t>
      </w:r>
      <w:r w:rsidRPr="005B1EA8">
        <w:rPr>
          <w:rFonts w:ascii="Palatino Linotype" w:eastAsia="Times New Roman" w:hAnsi="Palatino Linotype" w:cs="Arial"/>
          <w:i/>
          <w:color w:val="222222"/>
          <w:szCs w:val="19"/>
          <w:lang w:eastAsia="es-MX"/>
        </w:rPr>
        <w:t>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5B1EA8" w:rsidRPr="005B1EA8" w:rsidRDefault="005B1EA8" w:rsidP="005B1EA8">
      <w:pPr>
        <w:rPr>
          <w:rFonts w:ascii="Palatino Linotype" w:hAnsi="Palatino Linotype" w:cs="Arial"/>
          <w:b/>
          <w:sz w:val="24"/>
          <w:szCs w:val="24"/>
        </w:rPr>
      </w:pPr>
    </w:p>
    <w:p w:rsidR="005B1EA8" w:rsidRDefault="005B1EA8" w:rsidP="005B1EA8">
      <w:pPr>
        <w:numPr>
          <w:ilvl w:val="0"/>
          <w:numId w:val="1"/>
        </w:numPr>
        <w:spacing w:before="240" w:after="0" w:line="360" w:lineRule="auto"/>
        <w:ind w:left="0" w:firstLine="0"/>
        <w:contextualSpacing/>
        <w:jc w:val="both"/>
        <w:rPr>
          <w:rFonts w:ascii="Palatino Linotype" w:hAnsi="Palatino Linotype" w:cs="Arial"/>
          <w:sz w:val="24"/>
          <w:szCs w:val="24"/>
        </w:rPr>
      </w:pPr>
      <w:r w:rsidRPr="005B1EA8">
        <w:rPr>
          <w:rFonts w:ascii="Palatino Linotype" w:hAnsi="Palatino Linotype" w:cs="Arial"/>
          <w:sz w:val="24"/>
          <w:szCs w:val="24"/>
        </w:rPr>
        <w:t>En ese sentido, se entiende que al igual que las personas físicas, las personas morales, tienen el derecho de interponer medios de impugnación cuando las resoluciones les causen perjuicio alguno, de lo contrario, dichas personas se encontrarían en un estado de vulnerabilidad, impidiéndoles que cuando consideren que las resoluciones violan sus derechos, estos puedan interponer medios de defensa correspondientes.</w:t>
      </w:r>
    </w:p>
    <w:p w:rsidR="005B1EA8" w:rsidRPr="005B1EA8" w:rsidRDefault="005B1EA8" w:rsidP="005B1EA8">
      <w:pPr>
        <w:spacing w:before="240" w:after="0" w:line="360" w:lineRule="auto"/>
        <w:contextualSpacing/>
        <w:jc w:val="both"/>
        <w:rPr>
          <w:rFonts w:ascii="Palatino Linotype" w:hAnsi="Palatino Linotype" w:cs="Arial"/>
          <w:sz w:val="24"/>
          <w:szCs w:val="24"/>
        </w:rPr>
      </w:pPr>
    </w:p>
    <w:p w:rsidR="005B1EA8" w:rsidRPr="005B1EA8" w:rsidRDefault="005B1EA8" w:rsidP="0095491A">
      <w:pPr>
        <w:pStyle w:val="Ttulo1"/>
        <w:numPr>
          <w:ilvl w:val="0"/>
          <w:numId w:val="2"/>
        </w:numPr>
        <w:ind w:left="709"/>
        <w:rPr>
          <w:rFonts w:ascii="Palatino Linotype" w:eastAsia="Arial Unicode MS" w:hAnsi="Palatino Linotype"/>
          <w:b/>
          <w:color w:val="auto"/>
          <w:sz w:val="24"/>
          <w:szCs w:val="24"/>
          <w:bdr w:val="nil"/>
        </w:rPr>
      </w:pPr>
      <w:bookmarkStart w:id="10" w:name="_Toc3911806"/>
      <w:r w:rsidRPr="005B1EA8">
        <w:rPr>
          <w:rFonts w:ascii="Palatino Linotype" w:eastAsia="Arial Unicode MS" w:hAnsi="Palatino Linotype"/>
          <w:b/>
          <w:color w:val="auto"/>
          <w:sz w:val="24"/>
          <w:szCs w:val="24"/>
          <w:bdr w:val="nil"/>
        </w:rPr>
        <w:t>Del</w:t>
      </w:r>
      <w:r>
        <w:rPr>
          <w:rFonts w:ascii="Palatino Linotype" w:eastAsia="Arial Unicode MS" w:hAnsi="Palatino Linotype"/>
          <w:b/>
          <w:color w:val="auto"/>
          <w:sz w:val="24"/>
          <w:szCs w:val="24"/>
          <w:bdr w:val="nil"/>
        </w:rPr>
        <w:t xml:space="preserve"> P</w:t>
      </w:r>
      <w:r w:rsidRPr="005B1EA8">
        <w:rPr>
          <w:rFonts w:ascii="Palatino Linotype" w:eastAsia="Arial Unicode MS" w:hAnsi="Palatino Linotype"/>
          <w:b/>
          <w:color w:val="auto"/>
          <w:sz w:val="24"/>
          <w:szCs w:val="24"/>
          <w:bdr w:val="nil"/>
        </w:rPr>
        <w:t>ronunciamiento Simple</w:t>
      </w:r>
      <w:bookmarkEnd w:id="10"/>
    </w:p>
    <w:p w:rsidR="005B1EA8" w:rsidRDefault="005B1EA8" w:rsidP="005B1EA8">
      <w:pPr>
        <w:pBdr>
          <w:top w:val="nil"/>
          <w:left w:val="nil"/>
          <w:bottom w:val="nil"/>
          <w:right w:val="nil"/>
          <w:between w:val="nil"/>
          <w:bar w:val="nil"/>
        </w:pBdr>
        <w:spacing w:after="0" w:line="360" w:lineRule="auto"/>
        <w:jc w:val="both"/>
        <w:rPr>
          <w:rFonts w:ascii="Palatino Linotype" w:eastAsia="Arial Unicode MS" w:hAnsi="Palatino Linotype"/>
          <w:sz w:val="24"/>
          <w:szCs w:val="24"/>
          <w:bdr w:val="ni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w:t>
      </w:r>
      <w:r w:rsidRPr="0095491A">
        <w:rPr>
          <w:rFonts w:ascii="Palatino Linotype" w:eastAsia="Calibri" w:hAnsi="Palatino Linotype" w:cs="Arial"/>
          <w:sz w:val="24"/>
          <w:szCs w:val="24"/>
        </w:rPr>
        <w:lastRenderedPageBreak/>
        <w:t xml:space="preserve">aspecto, para lo cual es importante hacer mención lo que el </w:t>
      </w:r>
      <w:r w:rsidRPr="0095491A">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95491A" w:rsidRPr="0095491A" w:rsidRDefault="0095491A" w:rsidP="0095491A">
      <w:pPr>
        <w:spacing w:after="0" w:line="360" w:lineRule="auto"/>
        <w:ind w:right="618"/>
        <w:contextualSpacing/>
        <w:jc w:val="both"/>
        <w:rPr>
          <w:rFonts w:ascii="Palatino Linotype" w:eastAsiaTheme="minorEastAsia" w:hAnsi="Palatino Linotype" w:cs="Arial"/>
          <w:sz w:val="24"/>
          <w:szCs w:val="24"/>
          <w:lang w:val="es-ES_tradnl" w:eastAsia="es-ES"/>
        </w:rPr>
      </w:pP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b/>
          <w:i/>
          <w:lang w:val="es-ES_tradnl" w:eastAsia="es-ES"/>
        </w:rPr>
        <w:t>FUNDAMENTACIÓN Y MOTIVACIÓN.</w:t>
      </w:r>
      <w:r w:rsidRPr="0095491A">
        <w:rPr>
          <w:rFonts w:ascii="Palatino Linotype" w:eastAsiaTheme="minorEastAsia" w:hAnsi="Palatino Linotype" w:cs="Arial"/>
          <w:i/>
          <w:lang w:val="es-ES_tradnl" w:eastAsia="es-ES"/>
        </w:rPr>
        <w:t xml:space="preserve"> </w:t>
      </w:r>
      <w:r w:rsidRPr="0095491A">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5491A">
        <w:rPr>
          <w:rFonts w:ascii="Palatino Linotype" w:eastAsiaTheme="minorEastAsia" w:hAnsi="Palatino Linotype" w:cs="Arial"/>
          <w:i/>
          <w:lang w:val="es-ES_tradnl" w:eastAsia="es-ES"/>
        </w:rPr>
        <w:t>.</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SEGUNDO TRIBUNAL COLEGIADO DEL SEXTO CIRCUITO.</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95491A" w:rsidRPr="0095491A" w:rsidRDefault="0095491A" w:rsidP="0095491A">
      <w:pPr>
        <w:spacing w:after="0" w:line="360" w:lineRule="auto"/>
        <w:ind w:left="567" w:right="618"/>
        <w:contextualSpacing/>
        <w:jc w:val="both"/>
        <w:rPr>
          <w:rFonts w:ascii="Palatino Linotype" w:eastAsiaTheme="minorEastAsia" w:hAnsi="Palatino Linotype" w:cs="Arial"/>
          <w:i/>
          <w:lang w:val="es-ES_tradnl" w:eastAsia="es-ES"/>
        </w:rPr>
      </w:pPr>
      <w:r w:rsidRPr="0095491A">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95491A" w:rsidRPr="0095491A" w:rsidRDefault="0095491A" w:rsidP="0095491A">
      <w:pPr>
        <w:spacing w:after="0" w:line="360" w:lineRule="auto"/>
        <w:contextualSpacing/>
        <w:jc w:val="both"/>
        <w:rPr>
          <w:rFonts w:ascii="Palatino Linotype" w:eastAsiaTheme="minorEastAsia" w:hAnsi="Palatino Linotype" w:cs="Arial"/>
          <w:sz w:val="24"/>
          <w:szCs w:val="24"/>
          <w:lang w:val="es-ES" w:eastAsia="es-ES"/>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rPr>
        <w:lastRenderedPageBreak/>
        <w:t xml:space="preserve">Así </w:t>
      </w:r>
      <w:r w:rsidRPr="0095491A">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5491A" w:rsidRPr="0095491A" w:rsidRDefault="0095491A" w:rsidP="0095491A">
      <w:pPr>
        <w:spacing w:after="0" w:line="360" w:lineRule="auto"/>
        <w:contextualSpacing/>
        <w:jc w:val="both"/>
        <w:rPr>
          <w:rFonts w:ascii="Palatino Linotype" w:eastAsia="Calibri" w:hAnsi="Palatino Linotype" w:cs="Arial"/>
          <w:sz w:val="24"/>
          <w:szCs w:val="24"/>
        </w:rPr>
      </w:pPr>
    </w:p>
    <w:p w:rsidR="00C00D16"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rPr>
        <w:t xml:space="preserve">Lo anterior a razón de que la ponencia se limitó simplemente a manifestar </w:t>
      </w:r>
      <w:r w:rsidRPr="0095491A">
        <w:rPr>
          <w:rFonts w:ascii="Palatino Linotype" w:eastAsia="Calibri" w:hAnsi="Palatino Linotype" w:cs="Arial"/>
          <w:i/>
          <w:sz w:val="24"/>
          <w:szCs w:val="24"/>
        </w:rPr>
        <w:t>“</w:t>
      </w:r>
      <w:r w:rsidRPr="0095491A">
        <w:rPr>
          <w:rFonts w:ascii="Palatino Linotype" w:eastAsia="MS Mincho" w:hAnsi="Palatino Linotype" w:cs="Times New Roman"/>
          <w:i/>
          <w:lang w:val="es-ES_tradnl" w:eastAsia="es-ES"/>
        </w:rPr>
        <w:t xml:space="preserve">Para el caso de que no haya generado la información de la que se ordena su clasificación, bastará que así lo haga del conocimiento de </w:t>
      </w:r>
      <w:r w:rsidRPr="0095491A">
        <w:rPr>
          <w:rFonts w:ascii="Palatino Linotype" w:eastAsia="MS Mincho" w:hAnsi="Palatino Linotype" w:cs="Times New Roman"/>
          <w:b/>
          <w:i/>
          <w:lang w:val="es-ES_tradnl" w:eastAsia="es-ES"/>
        </w:rPr>
        <w:t>LA RECURRENTE</w:t>
      </w:r>
      <w:r w:rsidRPr="0095491A">
        <w:rPr>
          <w:rFonts w:ascii="Palatino Linotype" w:eastAsia="MS Mincho" w:hAnsi="Palatino Linotype" w:cs="Times New Roman"/>
          <w:i/>
          <w:lang w:val="es-ES_tradnl" w:eastAsia="es-ES"/>
        </w:rPr>
        <w:t>.</w:t>
      </w:r>
      <w:r w:rsidRPr="0095491A">
        <w:rPr>
          <w:rFonts w:ascii="Palatino Linotype" w:eastAsia="Calibri" w:hAnsi="Palatino Linotype" w:cs="Arial"/>
          <w:i/>
          <w:sz w:val="24"/>
          <w:szCs w:val="24"/>
        </w:rPr>
        <w:t>”</w:t>
      </w:r>
      <w:r w:rsidR="00C00D16">
        <w:rPr>
          <w:rFonts w:ascii="Palatino Linotype" w:eastAsia="Calibri" w:hAnsi="Palatino Linotype" w:cs="Arial"/>
          <w:i/>
          <w:sz w:val="24"/>
          <w:szCs w:val="24"/>
        </w:rPr>
        <w:t xml:space="preserve">en </w:t>
      </w:r>
      <w:r w:rsidR="00C00D16">
        <w:rPr>
          <w:rFonts w:ascii="Palatino Linotype" w:eastAsia="Calibri" w:hAnsi="Palatino Linotype" w:cs="Arial"/>
          <w:sz w:val="24"/>
          <w:szCs w:val="24"/>
        </w:rPr>
        <w:t xml:space="preserve">el resolutivo segundo lo que se </w:t>
      </w:r>
      <w:r w:rsidR="00C00D16" w:rsidRPr="0095491A">
        <w:rPr>
          <w:rFonts w:ascii="Palatino Linotype" w:eastAsia="Calibri" w:hAnsi="Palatino Linotype" w:cs="Arial"/>
          <w:sz w:val="24"/>
          <w:szCs w:val="24"/>
        </w:rPr>
        <w:t>considerada</w:t>
      </w:r>
      <w:r w:rsidRPr="0095491A">
        <w:rPr>
          <w:rFonts w:ascii="Palatino Linotype" w:eastAsia="Calibri" w:hAnsi="Palatino Linotype" w:cs="Arial"/>
          <w:sz w:val="24"/>
          <w:szCs w:val="24"/>
        </w:rPr>
        <w:t xml:space="preserve"> </w:t>
      </w:r>
      <w:r w:rsidR="00C00D16">
        <w:rPr>
          <w:rFonts w:ascii="Palatino Linotype" w:eastAsia="Calibri" w:hAnsi="Palatino Linotype" w:cs="Arial"/>
          <w:sz w:val="24"/>
          <w:szCs w:val="24"/>
        </w:rPr>
        <w:t>como un pronunciamiento simple.</w:t>
      </w:r>
    </w:p>
    <w:p w:rsidR="00C00D16" w:rsidRDefault="00C00D16" w:rsidP="00C00D16">
      <w:pPr>
        <w:pStyle w:val="Prrafodelista"/>
        <w:rPr>
          <w:rFonts w:ascii="Palatino Linotype" w:eastAsia="Calibri" w:hAnsi="Palatino Linotype" w:cs="Arial"/>
          <w:sz w:val="24"/>
          <w:szCs w:val="24"/>
        </w:rPr>
      </w:pPr>
    </w:p>
    <w:p w:rsidR="0095491A" w:rsidRPr="00C00D16" w:rsidRDefault="00C00D16" w:rsidP="00C00D16">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La </w:t>
      </w:r>
      <w:r w:rsidR="0095491A" w:rsidRPr="00C00D16">
        <w:rPr>
          <w:rFonts w:ascii="Palatino Linotype" w:eastAsia="Calibri" w:hAnsi="Palatino Linotype" w:cs="Arial"/>
          <w:sz w:val="24"/>
          <w:szCs w:val="24"/>
        </w:rPr>
        <w:t xml:space="preserve">fundamentación y motivación, </w:t>
      </w:r>
      <w:r>
        <w:rPr>
          <w:rFonts w:ascii="Palatino Linotype" w:eastAsia="Calibri" w:hAnsi="Palatino Linotype" w:cs="Arial"/>
          <w:sz w:val="24"/>
          <w:szCs w:val="24"/>
        </w:rPr>
        <w:t xml:space="preserve">debe de </w:t>
      </w:r>
      <w:r w:rsidR="0095491A" w:rsidRPr="00C00D16">
        <w:rPr>
          <w:rFonts w:ascii="Palatino Linotype" w:eastAsia="Calibri" w:hAnsi="Palatino Linotype" w:cs="Arial"/>
          <w:sz w:val="24"/>
          <w:szCs w:val="24"/>
        </w:rPr>
        <w:t xml:space="preserve"> explica</w:t>
      </w:r>
      <w:r>
        <w:rPr>
          <w:rFonts w:ascii="Palatino Linotype" w:eastAsia="Calibri" w:hAnsi="Palatino Linotype" w:cs="Arial"/>
          <w:sz w:val="24"/>
          <w:szCs w:val="24"/>
        </w:rPr>
        <w:t>r</w:t>
      </w:r>
      <w:r w:rsidR="0095491A" w:rsidRPr="00C00D16">
        <w:rPr>
          <w:rFonts w:ascii="Palatino Linotype" w:eastAsia="Calibri" w:hAnsi="Palatino Linotype" w:cs="Arial"/>
          <w:sz w:val="24"/>
          <w:szCs w:val="24"/>
        </w:rPr>
        <w:t xml:space="preserve"> de manera clara y precisa las razones por las que la información no es generada, poseída o administrada y por tanto no obra en los archivos del Sujeto Obligado, lo que en consecuencia contradice en primer lugar </w:t>
      </w:r>
      <w:r w:rsidR="0095491A" w:rsidRPr="00C00D16">
        <w:rPr>
          <w:rFonts w:ascii="Palatino Linotype" w:eastAsia="Calibri" w:hAnsi="Palatino Linotype" w:cs="Arial"/>
          <w:sz w:val="24"/>
          <w:szCs w:val="24"/>
          <w:u w:val="single"/>
        </w:rPr>
        <w:t>el principio de certeza</w:t>
      </w:r>
      <w:r w:rsidR="0095491A" w:rsidRPr="00C00D16">
        <w:rPr>
          <w:rFonts w:ascii="Palatino Linotype" w:eastAsia="Calibri" w:hAnsi="Palatino Linotype" w:cs="Arial"/>
          <w:sz w:val="24"/>
          <w:szCs w:val="24"/>
        </w:rPr>
        <w:t>, en razón de que el a</w:t>
      </w:r>
      <w:r>
        <w:rPr>
          <w:rFonts w:ascii="Palatino Linotype" w:eastAsia="Calibri" w:hAnsi="Palatino Linotype" w:cs="Arial"/>
          <w:sz w:val="24"/>
          <w:szCs w:val="24"/>
        </w:rPr>
        <w:t>cto de autoridad que realice el SUJETO OBLIOGADO para el cumplimiento de la resolución,  carezca</w:t>
      </w:r>
      <w:r w:rsidR="0095491A" w:rsidRPr="00C00D16">
        <w:rPr>
          <w:rFonts w:ascii="Palatino Linotype" w:eastAsia="Calibri" w:hAnsi="Palatino Linotype" w:cs="Arial"/>
          <w:sz w:val="24"/>
          <w:szCs w:val="24"/>
        </w:rPr>
        <w:t xml:space="preserve"> de fundamentación y motivación, lo que en consecuencia no brinda seguridad y certidumbre jurídica al particular, imposibilitando conocer si la postura adoptada por el Sujeto Obligado es apegada a derecho; y en segundo lugar </w:t>
      </w:r>
      <w:r w:rsidR="0095491A" w:rsidRPr="00C00D16">
        <w:rPr>
          <w:rFonts w:ascii="Palatino Linotype" w:eastAsia="Calibri" w:hAnsi="Palatino Linotype" w:cs="Arial"/>
          <w:sz w:val="24"/>
          <w:szCs w:val="24"/>
          <w:u w:val="single"/>
        </w:rPr>
        <w:t>el artículo 19 segundo párrafo</w:t>
      </w:r>
      <w:r w:rsidR="0095491A" w:rsidRPr="00C00D16">
        <w:rPr>
          <w:rFonts w:ascii="Palatino Linotype" w:eastAsia="Calibri" w:hAnsi="Palatino Linotype" w:cs="Arial"/>
          <w:sz w:val="24"/>
          <w:szCs w:val="24"/>
        </w:rPr>
        <w:t xml:space="preserve"> que señala </w:t>
      </w:r>
      <w:r w:rsidR="0095491A" w:rsidRPr="00C00D16">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0095491A" w:rsidRPr="00C00D16">
        <w:rPr>
          <w:rFonts w:ascii="Palatino Linotype" w:eastAsia="Calibri" w:hAnsi="Palatino Linotype" w:cs="Arial"/>
          <w:sz w:val="24"/>
          <w:szCs w:val="24"/>
        </w:rPr>
        <w:t xml:space="preserve"> </w:t>
      </w:r>
    </w:p>
    <w:p w:rsidR="0095491A" w:rsidRPr="0095491A" w:rsidRDefault="0095491A" w:rsidP="0095491A">
      <w:pPr>
        <w:spacing w:after="0" w:line="360" w:lineRule="auto"/>
        <w:contextualSpacing/>
        <w:jc w:val="both"/>
        <w:rPr>
          <w:rFonts w:ascii="Palatino Linotype" w:eastAsia="Calibri" w:hAnsi="Palatino Linotype" w:cs="Arial"/>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rPr>
        <w:lastRenderedPageBreak/>
        <w:t>Por lo que si el Sujeto Obligado no genera, administra o posee la información que solicitó el particular, el mismo deberá fundar y motivar debidamente las razones o circunstancias por las que no genera, posee o administra la información precisando de manera clara, las razones que expliquen las causas por las que no se cuenta con la información requerida en el presente asunto.</w:t>
      </w:r>
    </w:p>
    <w:p w:rsidR="0095491A" w:rsidRPr="0095491A" w:rsidRDefault="0095491A" w:rsidP="0095491A">
      <w:pPr>
        <w:ind w:left="720"/>
        <w:contextualSpacing/>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
        </w:rPr>
      </w:pPr>
    </w:p>
    <w:p w:rsidR="0095491A" w:rsidRPr="0095491A" w:rsidRDefault="0095491A" w:rsidP="0095491A">
      <w:pPr>
        <w:spacing w:after="0" w:line="360" w:lineRule="auto"/>
        <w:ind w:left="567" w:right="616"/>
        <w:contextualSpacing/>
        <w:jc w:val="both"/>
        <w:rPr>
          <w:rFonts w:ascii="Palatino Linotype" w:eastAsia="Calibri" w:hAnsi="Palatino Linotype" w:cs="Arial"/>
          <w:i/>
          <w:lang w:val="es-ES_tradnl"/>
        </w:rPr>
      </w:pPr>
      <w:r w:rsidRPr="0095491A">
        <w:rPr>
          <w:rFonts w:ascii="Palatino Linotype" w:eastAsia="Calibri" w:hAnsi="Palatino Linotype" w:cs="Arial"/>
          <w:b/>
          <w:i/>
          <w:lang w:val="es-ES_tradnl"/>
        </w:rPr>
        <w:t>Artículo 16.</w:t>
      </w:r>
      <w:r w:rsidRPr="0095491A">
        <w:rPr>
          <w:rFonts w:ascii="Palatino Linotype" w:eastAsia="Calibri" w:hAnsi="Palatino Linotype" w:cs="Arial"/>
          <w:i/>
          <w:lang w:val="es-ES_tradnl"/>
        </w:rPr>
        <w:t xml:space="preserve"> Nadie puede ser molestado en su persona, familia, domicilio, papeles o posesiones, </w:t>
      </w:r>
      <w:r w:rsidRPr="0095491A">
        <w:rPr>
          <w:rFonts w:ascii="Palatino Linotype" w:eastAsia="Calibri" w:hAnsi="Palatino Linotype" w:cs="Arial"/>
          <w:b/>
          <w:i/>
          <w:lang w:val="es-ES_tradnl"/>
        </w:rPr>
        <w:t>sino en virtud de mandamiento escrito de la autoridad competente, que funde y motive la causa legal del procedimiento</w:t>
      </w:r>
      <w:r w:rsidRPr="0095491A">
        <w:rPr>
          <w:rFonts w:ascii="Palatino Linotype" w:eastAsia="Calibri" w:hAnsi="Palatino Linotype" w:cs="Arial"/>
          <w:i/>
          <w:lang w:val="es-ES_tradnl"/>
        </w:rPr>
        <w:t>.</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95491A" w:rsidRPr="0095491A" w:rsidRDefault="0095491A" w:rsidP="0095491A">
      <w:pPr>
        <w:ind w:left="720"/>
        <w:contextualSpacing/>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5491A" w:rsidRPr="0095491A" w:rsidRDefault="0095491A" w:rsidP="0095491A">
      <w:pPr>
        <w:spacing w:after="0" w:line="360" w:lineRule="auto"/>
        <w:ind w:right="616"/>
        <w:contextualSpacing/>
        <w:jc w:val="both"/>
        <w:rPr>
          <w:rFonts w:ascii="Palatino Linotype" w:eastAsia="Calibri" w:hAnsi="Palatino Linotype" w:cs="Arial"/>
          <w:i/>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lang w:val="es-ES_tradnl"/>
        </w:rPr>
      </w:pPr>
      <w:r w:rsidRPr="0095491A">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5491A" w:rsidRPr="0095491A" w:rsidRDefault="0095491A" w:rsidP="0095491A">
      <w:pPr>
        <w:spacing w:after="0" w:line="360" w:lineRule="auto"/>
        <w:contextualSpacing/>
        <w:jc w:val="both"/>
        <w:rPr>
          <w:rFonts w:ascii="Palatino Linotype" w:eastAsia="Calibri" w:hAnsi="Palatino Linotype" w:cs="Arial"/>
          <w:sz w:val="24"/>
          <w:szCs w:val="24"/>
          <w:lang w:val="es-ES_tradnl"/>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Arial"/>
          <w:sz w:val="24"/>
          <w:szCs w:val="24"/>
        </w:rPr>
        <w:t xml:space="preserve">Es de mencionar que en caso de que el </w:t>
      </w:r>
      <w:r w:rsidRPr="0095491A">
        <w:rPr>
          <w:rFonts w:ascii="Palatino Linotype" w:eastAsia="Calibri" w:hAnsi="Palatino Linotype" w:cs="Arial"/>
          <w:b/>
          <w:sz w:val="24"/>
          <w:szCs w:val="24"/>
        </w:rPr>
        <w:t>SUJETO OBLIGADO</w:t>
      </w:r>
      <w:r w:rsidRPr="0095491A">
        <w:rPr>
          <w:rFonts w:ascii="Palatino Linotype" w:eastAsia="Calibri" w:hAnsi="Palatino Linotype" w:cs="Arial"/>
          <w:sz w:val="24"/>
          <w:szCs w:val="24"/>
        </w:rPr>
        <w:t xml:space="preserve">, no contara con la información solicitada por no encontrarse dentro de sus </w:t>
      </w:r>
      <w:r w:rsidRPr="0095491A">
        <w:rPr>
          <w:rFonts w:ascii="Palatino Linotype" w:hAnsi="Palatino Linotype"/>
          <w:sz w:val="24"/>
          <w:szCs w:val="24"/>
        </w:rPr>
        <w:t>facultades, competencias o funcione</w:t>
      </w:r>
      <w:r w:rsidRPr="0095491A">
        <w:rPr>
          <w:rFonts w:ascii="Palatino Linotype" w:eastAsia="Calibri" w:hAnsi="Palatino Linotype" w:cs="Arial"/>
          <w:sz w:val="24"/>
          <w:szCs w:val="24"/>
        </w:rPr>
        <w:t>s, deberá demostrarlo de manera fundada y motivada, de acuerdo al artículo 20 de la Ley de la materia, el cual establece que:</w:t>
      </w:r>
    </w:p>
    <w:p w:rsidR="0095491A" w:rsidRPr="0095491A" w:rsidRDefault="0095491A" w:rsidP="0095491A">
      <w:pPr>
        <w:spacing w:after="0" w:line="360" w:lineRule="auto"/>
        <w:contextualSpacing/>
        <w:jc w:val="both"/>
        <w:rPr>
          <w:b/>
          <w:bCs/>
          <w:sz w:val="24"/>
          <w:szCs w:val="24"/>
        </w:rPr>
      </w:pPr>
    </w:p>
    <w:p w:rsidR="0095491A" w:rsidRPr="0095491A" w:rsidRDefault="0095491A" w:rsidP="0095491A">
      <w:pPr>
        <w:spacing w:after="0" w:line="360" w:lineRule="auto"/>
        <w:ind w:left="567" w:right="616"/>
        <w:contextualSpacing/>
        <w:jc w:val="both"/>
        <w:rPr>
          <w:rFonts w:ascii="Palatino Linotype" w:eastAsia="Calibri" w:hAnsi="Palatino Linotype" w:cs="Arial"/>
          <w:i/>
          <w:sz w:val="24"/>
          <w:szCs w:val="24"/>
        </w:rPr>
      </w:pPr>
      <w:r w:rsidRPr="0095491A">
        <w:rPr>
          <w:rFonts w:ascii="Palatino Linotype" w:hAnsi="Palatino Linotype"/>
          <w:b/>
          <w:bCs/>
          <w:i/>
          <w:sz w:val="24"/>
          <w:szCs w:val="24"/>
        </w:rPr>
        <w:t xml:space="preserve">Artículo 20. </w:t>
      </w:r>
      <w:r w:rsidRPr="0095491A">
        <w:rPr>
          <w:rFonts w:ascii="Palatino Linotype" w:hAnsi="Palatino Linotype"/>
          <w:i/>
          <w:sz w:val="24"/>
          <w:szCs w:val="24"/>
        </w:rPr>
        <w:t xml:space="preserve">Ante la negativa del acceso a la información </w:t>
      </w:r>
      <w:r w:rsidRPr="0095491A">
        <w:rPr>
          <w:rFonts w:ascii="Palatino Linotype" w:hAnsi="Palatino Linotype"/>
          <w:b/>
          <w:i/>
          <w:sz w:val="24"/>
          <w:szCs w:val="24"/>
        </w:rPr>
        <w:t>o su inexistencia</w:t>
      </w:r>
      <w:r w:rsidRPr="0095491A">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95491A">
        <w:rPr>
          <w:rFonts w:ascii="Palatino Linotype" w:hAnsi="Palatino Linotype"/>
          <w:b/>
          <w:i/>
          <w:sz w:val="24"/>
          <w:szCs w:val="24"/>
        </w:rPr>
        <w:t>demostrar que la información no se refiere a alguna de sus facultades, competencias o funciones.</w:t>
      </w:r>
    </w:p>
    <w:p w:rsidR="0095491A" w:rsidRPr="0095491A" w:rsidRDefault="0095491A" w:rsidP="0095491A">
      <w:pPr>
        <w:spacing w:after="0" w:line="360" w:lineRule="auto"/>
        <w:contextualSpacing/>
        <w:jc w:val="both"/>
        <w:rPr>
          <w:rFonts w:ascii="Palatino Linotype" w:eastAsia="Calibri" w:hAnsi="Palatino Linotype" w:cs="Arial"/>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eastAsia="Calibri" w:hAnsi="Palatino Linotype" w:cs="Arial"/>
          <w:sz w:val="24"/>
          <w:szCs w:val="24"/>
        </w:rPr>
        <w:t xml:space="preserve">Por lo anteriormente expuesto, se concluye que para los casos en que la información que el particular solicitó sea inexistente de acuerdo con el artículo 20 de la Ley, la autoridad debe informar al particular especificando los elementos que le permitan tener la seguridad de que los criterios de búsqueda fueron exhaustivos, así como señalar detalladamente las circunstancias que generaron la inexistencia de la información, de manera que la autoridad no puede únicamente informar al </w:t>
      </w:r>
      <w:r w:rsidRPr="0095491A">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95491A" w:rsidRPr="0095491A" w:rsidRDefault="0095491A" w:rsidP="0095491A">
      <w:pPr>
        <w:spacing w:after="0" w:line="360" w:lineRule="auto"/>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eastAsia="Calibri" w:hAnsi="Palatino Linotype" w:cs="Arial"/>
          <w:sz w:val="24"/>
          <w:szCs w:val="24"/>
        </w:rPr>
        <w:t>T</w:t>
      </w:r>
      <w:r w:rsidRPr="0095491A">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95491A" w:rsidRPr="0095491A" w:rsidRDefault="0095491A" w:rsidP="0095491A">
      <w:pPr>
        <w:ind w:left="720"/>
        <w:contextualSpacing/>
        <w:rPr>
          <w:rFonts w:ascii="Palatino Linotype" w:hAnsi="Palatino Linotype"/>
          <w:sz w:val="24"/>
          <w:szCs w:val="24"/>
        </w:rPr>
      </w:pPr>
    </w:p>
    <w:p w:rsidR="0095491A" w:rsidRPr="00C00D16" w:rsidRDefault="0095491A" w:rsidP="00C00D16">
      <w:pPr>
        <w:pStyle w:val="Ttulo2"/>
        <w:numPr>
          <w:ilvl w:val="0"/>
          <w:numId w:val="18"/>
        </w:numPr>
        <w:rPr>
          <w:rFonts w:ascii="Palatino Linotype" w:hAnsi="Palatino Linotype"/>
          <w:b/>
          <w:color w:val="auto"/>
          <w:sz w:val="24"/>
          <w:szCs w:val="24"/>
        </w:rPr>
      </w:pPr>
      <w:bookmarkStart w:id="11" w:name="_Toc3911807"/>
      <w:r w:rsidRPr="00C00D16">
        <w:rPr>
          <w:rFonts w:ascii="Palatino Linotype" w:hAnsi="Palatino Linotype"/>
          <w:b/>
          <w:color w:val="auto"/>
          <w:sz w:val="24"/>
          <w:szCs w:val="24"/>
        </w:rPr>
        <w:t>Del artículo 19 de la ley de la materia.</w:t>
      </w:r>
      <w:bookmarkEnd w:id="11"/>
    </w:p>
    <w:p w:rsidR="0095491A" w:rsidRPr="0095491A" w:rsidRDefault="0095491A" w:rsidP="0095491A">
      <w:pPr>
        <w:spacing w:after="0" w:line="360" w:lineRule="auto"/>
        <w:contextualSpacing/>
        <w:jc w:val="both"/>
        <w:rPr>
          <w:rFonts w:ascii="Palatino Linotype" w:hAnsi="Palatino Linotype"/>
          <w:sz w:val="24"/>
          <w:szCs w:val="24"/>
        </w:rPr>
      </w:pPr>
    </w:p>
    <w:p w:rsidR="0095491A" w:rsidRPr="0095491A" w:rsidRDefault="0095491A" w:rsidP="00C00D16">
      <w:pPr>
        <w:numPr>
          <w:ilvl w:val="0"/>
          <w:numId w:val="1"/>
        </w:numPr>
        <w:spacing w:after="0" w:line="360" w:lineRule="auto"/>
        <w:ind w:left="0" w:right="49" w:firstLine="0"/>
        <w:contextualSpacing/>
        <w:jc w:val="both"/>
        <w:rPr>
          <w:rFonts w:ascii="Palatino Linotype" w:hAnsi="Palatino Linotype"/>
          <w:sz w:val="24"/>
          <w:szCs w:val="24"/>
        </w:rPr>
      </w:pPr>
      <w:r w:rsidRPr="0095491A">
        <w:rPr>
          <w:rFonts w:ascii="Palatino Linotype" w:hAnsi="Palatino Linotype"/>
          <w:sz w:val="24"/>
          <w:szCs w:val="24"/>
        </w:rPr>
        <w:t xml:space="preserve">Para poder comprender lo que la </w:t>
      </w:r>
      <w:r w:rsidRPr="0095491A">
        <w:rPr>
          <w:rFonts w:ascii="Palatino Linotype" w:hAnsi="Palatino Linotype"/>
          <w:b/>
          <w:sz w:val="24"/>
          <w:szCs w:val="24"/>
        </w:rPr>
        <w:t>“presunción de la información”</w:t>
      </w:r>
      <w:r w:rsidRPr="0095491A">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95491A" w:rsidRPr="0095491A" w:rsidRDefault="0095491A" w:rsidP="0095491A">
      <w:pPr>
        <w:spacing w:after="0" w:line="360" w:lineRule="auto"/>
        <w:ind w:right="900"/>
        <w:jc w:val="both"/>
        <w:rPr>
          <w:rFonts w:ascii="Palatino Linotype" w:hAnsi="Palatino Linotype"/>
          <w:sz w:val="24"/>
          <w:szCs w:val="24"/>
        </w:rPr>
      </w:pPr>
    </w:p>
    <w:p w:rsidR="0095491A" w:rsidRPr="0095491A" w:rsidRDefault="0095491A" w:rsidP="0095491A">
      <w:pPr>
        <w:spacing w:line="360" w:lineRule="auto"/>
        <w:ind w:left="567" w:right="900"/>
        <w:jc w:val="both"/>
        <w:rPr>
          <w:rFonts w:ascii="Palatino Linotype" w:hAnsi="Palatino Linotype"/>
          <w:i/>
          <w:sz w:val="24"/>
          <w:szCs w:val="24"/>
        </w:rPr>
      </w:pPr>
      <w:r w:rsidRPr="0095491A">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95491A" w:rsidRPr="0095491A" w:rsidRDefault="0095491A" w:rsidP="0095491A">
      <w:pPr>
        <w:spacing w:line="360" w:lineRule="auto"/>
        <w:ind w:left="567" w:right="900"/>
        <w:jc w:val="both"/>
        <w:rPr>
          <w:rFonts w:ascii="Palatino Linotype" w:hAnsi="Palatino Linotype"/>
          <w:i/>
          <w:sz w:val="24"/>
          <w:szCs w:val="24"/>
        </w:rPr>
      </w:pPr>
      <w:r w:rsidRPr="0095491A">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95491A" w:rsidRPr="0095491A" w:rsidRDefault="0095491A" w:rsidP="0095491A">
      <w:pPr>
        <w:spacing w:line="360" w:lineRule="auto"/>
        <w:ind w:left="567" w:right="900"/>
        <w:jc w:val="both"/>
        <w:rPr>
          <w:rFonts w:ascii="Palatino Linotype" w:hAnsi="Palatino Linotype"/>
          <w:i/>
          <w:sz w:val="24"/>
          <w:szCs w:val="24"/>
        </w:rPr>
      </w:pPr>
      <w:r w:rsidRPr="0095491A">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95491A" w:rsidRPr="0095491A" w:rsidRDefault="0095491A" w:rsidP="0095491A">
      <w:pPr>
        <w:spacing w:after="0" w:line="360" w:lineRule="auto"/>
        <w:ind w:right="900"/>
        <w:jc w:val="both"/>
        <w:rPr>
          <w:rFonts w:ascii="Palatino Linotype" w:hAnsi="Palatino Linotype"/>
          <w:i/>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95491A" w:rsidRPr="0095491A" w:rsidRDefault="0095491A" w:rsidP="0095491A">
      <w:pPr>
        <w:spacing w:after="0" w:line="360" w:lineRule="auto"/>
        <w:jc w:val="both"/>
        <w:rPr>
          <w:rFonts w:ascii="Palatino Linotype" w:hAnsi="Palatino Linotype"/>
          <w:sz w:val="24"/>
          <w:szCs w:val="24"/>
        </w:rPr>
      </w:pPr>
    </w:p>
    <w:p w:rsidR="0095491A" w:rsidRPr="00C00D16" w:rsidRDefault="0095491A" w:rsidP="00C00D16">
      <w:pPr>
        <w:pStyle w:val="Prrafodelista"/>
        <w:numPr>
          <w:ilvl w:val="0"/>
          <w:numId w:val="18"/>
        </w:numPr>
        <w:spacing w:after="0" w:line="360" w:lineRule="auto"/>
        <w:jc w:val="both"/>
        <w:rPr>
          <w:rFonts w:ascii="Palatino Linotype" w:hAnsi="Palatino Linotype"/>
          <w:sz w:val="24"/>
          <w:szCs w:val="24"/>
        </w:rPr>
      </w:pPr>
      <w:r w:rsidRPr="00C00D16">
        <w:rPr>
          <w:rFonts w:ascii="Palatino Linotype" w:hAnsi="Palatino Linotype"/>
          <w:b/>
          <w:sz w:val="24"/>
          <w:szCs w:val="24"/>
        </w:rPr>
        <w:t>Existencia y presunción implícita o explícita de la información.</w:t>
      </w:r>
      <w:r w:rsidRPr="00C00D16">
        <w:rPr>
          <w:rFonts w:ascii="Palatino Linotype" w:hAnsi="Palatino Linotype"/>
          <w:sz w:val="24"/>
          <w:szCs w:val="24"/>
        </w:rPr>
        <w:t xml:space="preserve"> </w:t>
      </w:r>
    </w:p>
    <w:p w:rsidR="0095491A" w:rsidRPr="0095491A" w:rsidRDefault="0095491A" w:rsidP="0095491A">
      <w:pPr>
        <w:spacing w:after="0" w:line="360" w:lineRule="auto"/>
        <w:ind w:left="426"/>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Esta hipótesis señala que se presume que la información debe de existir en archivos del </w:t>
      </w:r>
      <w:r w:rsidRPr="0095491A">
        <w:rPr>
          <w:rFonts w:ascii="Palatino Linotype" w:hAnsi="Palatino Linotype"/>
          <w:b/>
          <w:sz w:val="24"/>
          <w:szCs w:val="24"/>
        </w:rPr>
        <w:t>SUJETO OBLIGADO</w:t>
      </w:r>
      <w:r w:rsidRPr="0095491A">
        <w:rPr>
          <w:rFonts w:ascii="Palatino Linotype" w:hAnsi="Palatino Linotype"/>
          <w:sz w:val="24"/>
          <w:szCs w:val="24"/>
        </w:rPr>
        <w:t xml:space="preserve">, en razón de que éste tiene la obligación, facultad y/o competencia de generar la misma, para robustecer lo anterior se anexa el siguiente criterio; </w:t>
      </w:r>
    </w:p>
    <w:p w:rsidR="0095491A" w:rsidRPr="0095491A" w:rsidRDefault="0095491A" w:rsidP="0095491A">
      <w:pPr>
        <w:spacing w:after="0" w:line="360" w:lineRule="auto"/>
        <w:ind w:left="720"/>
        <w:contextualSpacing/>
        <w:jc w:val="both"/>
        <w:rPr>
          <w:rFonts w:ascii="Palatino Linotype" w:hAnsi="Palatino Linotype"/>
          <w:sz w:val="24"/>
          <w:szCs w:val="24"/>
        </w:rPr>
      </w:pPr>
    </w:p>
    <w:p w:rsidR="0095491A" w:rsidRPr="0095491A" w:rsidRDefault="0095491A" w:rsidP="0095491A">
      <w:pPr>
        <w:spacing w:after="0" w:line="360" w:lineRule="auto"/>
        <w:ind w:left="567" w:right="616"/>
        <w:contextualSpacing/>
        <w:jc w:val="both"/>
        <w:rPr>
          <w:rFonts w:ascii="Palatino Linotype" w:hAnsi="Palatino Linotype" w:cs="Arial"/>
          <w:sz w:val="24"/>
          <w:szCs w:val="24"/>
        </w:rPr>
      </w:pPr>
      <w:r w:rsidRPr="0095491A">
        <w:rPr>
          <w:rFonts w:ascii="Palatino Linotype" w:hAnsi="Palatino Linotype" w:cs="Arial"/>
          <w:b/>
          <w:sz w:val="24"/>
          <w:szCs w:val="24"/>
        </w:rPr>
        <w:t>EXISTENCIA DE LA INFORMACIÓN PÚBLICA, PRESUNCIÓN IMPLÍCITA O EXPLÍCITA DE LA.</w:t>
      </w:r>
      <w:r w:rsidRPr="0095491A">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w:t>
      </w:r>
      <w:r w:rsidRPr="0095491A">
        <w:rPr>
          <w:rFonts w:ascii="Palatino Linotype" w:hAnsi="Palatino Linotype" w:cs="Arial"/>
          <w:sz w:val="24"/>
          <w:szCs w:val="24"/>
        </w:rPr>
        <w:lastRenderedPageBreak/>
        <w:t xml:space="preserve">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95491A">
        <w:rPr>
          <w:rFonts w:ascii="Palatino Linotype" w:hAnsi="Palatino Linotype" w:cs="Arial"/>
          <w:sz w:val="24"/>
          <w:szCs w:val="24"/>
          <w:u w:val="single"/>
        </w:rPr>
        <w:t>aprobar un presupuesto de egresos</w:t>
      </w:r>
      <w:r w:rsidRPr="0095491A">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5491A" w:rsidRPr="0095491A" w:rsidRDefault="0095491A" w:rsidP="0095491A">
      <w:pPr>
        <w:spacing w:line="360" w:lineRule="auto"/>
        <w:ind w:left="720"/>
        <w:contextualSpacing/>
        <w:jc w:val="both"/>
        <w:rPr>
          <w:rFonts w:ascii="Palatino Linotype" w:hAnsi="Palatino Linotype"/>
          <w:sz w:val="24"/>
          <w:szCs w:val="24"/>
        </w:rPr>
      </w:pPr>
    </w:p>
    <w:p w:rsidR="0095491A" w:rsidRPr="00C00D16" w:rsidRDefault="0095491A" w:rsidP="00C00D16">
      <w:pPr>
        <w:numPr>
          <w:ilvl w:val="0"/>
          <w:numId w:val="18"/>
        </w:numPr>
        <w:spacing w:line="360" w:lineRule="auto"/>
        <w:ind w:left="426" w:hanging="426"/>
        <w:contextualSpacing/>
        <w:jc w:val="both"/>
        <w:rPr>
          <w:rFonts w:ascii="Palatino Linotype" w:hAnsi="Palatino Linotype"/>
          <w:sz w:val="24"/>
          <w:szCs w:val="24"/>
        </w:rPr>
      </w:pPr>
      <w:r w:rsidRPr="0095491A">
        <w:rPr>
          <w:rFonts w:ascii="Palatino Linotype" w:hAnsi="Palatino Linotype"/>
          <w:b/>
          <w:sz w:val="24"/>
          <w:szCs w:val="24"/>
        </w:rPr>
        <w:t>Inexistencia de la información, por la falta de acción de un interesado.</w:t>
      </w:r>
    </w:p>
    <w:p w:rsidR="00C00D16" w:rsidRPr="0095491A" w:rsidRDefault="00C00D16" w:rsidP="00C00D16">
      <w:pPr>
        <w:spacing w:line="360" w:lineRule="auto"/>
        <w:ind w:left="426"/>
        <w:contextualSpacing/>
        <w:jc w:val="both"/>
        <w:rPr>
          <w:rFonts w:ascii="Palatino Linotype" w:hAnsi="Palatino Linotype"/>
          <w:sz w:val="24"/>
          <w:szCs w:val="24"/>
        </w:rPr>
      </w:pPr>
    </w:p>
    <w:p w:rsidR="0095491A" w:rsidRPr="0095491A" w:rsidRDefault="0095491A" w:rsidP="0095491A">
      <w:pPr>
        <w:numPr>
          <w:ilvl w:val="0"/>
          <w:numId w:val="1"/>
        </w:numPr>
        <w:spacing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Esta hipótesis señala que para el caso de que el </w:t>
      </w:r>
      <w:r w:rsidRPr="0095491A">
        <w:rPr>
          <w:rFonts w:ascii="Palatino Linotype" w:hAnsi="Palatino Linotype"/>
          <w:b/>
          <w:sz w:val="24"/>
          <w:szCs w:val="24"/>
        </w:rPr>
        <w:t>SUJETO OBLIGADO</w:t>
      </w:r>
      <w:r w:rsidRPr="0095491A">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95491A">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95491A" w:rsidRPr="0095491A" w:rsidRDefault="0095491A" w:rsidP="0095491A">
      <w:pPr>
        <w:spacing w:line="360" w:lineRule="auto"/>
        <w:contextualSpacing/>
        <w:jc w:val="both"/>
        <w:rPr>
          <w:rFonts w:ascii="Palatino Linotype" w:hAnsi="Palatino Linotype"/>
          <w:sz w:val="24"/>
          <w:szCs w:val="24"/>
        </w:rPr>
      </w:pPr>
    </w:p>
    <w:p w:rsidR="0095491A" w:rsidRPr="0095491A" w:rsidRDefault="0095491A" w:rsidP="0095491A">
      <w:pPr>
        <w:numPr>
          <w:ilvl w:val="0"/>
          <w:numId w:val="1"/>
        </w:numPr>
        <w:spacing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Por lo anterior y si fuera el caso, el </w:t>
      </w:r>
      <w:r w:rsidRPr="0095491A">
        <w:rPr>
          <w:rFonts w:ascii="Palatino Linotype" w:hAnsi="Palatino Linotype"/>
          <w:b/>
          <w:sz w:val="24"/>
          <w:szCs w:val="24"/>
        </w:rPr>
        <w:t>SUJETO OBLIGADO</w:t>
      </w:r>
      <w:r w:rsidRPr="0095491A">
        <w:rPr>
          <w:rFonts w:ascii="Palatino Linotype" w:hAnsi="Palatino Linotype"/>
          <w:sz w:val="24"/>
          <w:szCs w:val="24"/>
        </w:rPr>
        <w:t xml:space="preserve">, deberá señalar de manera fundada y motivada las razones que lo llevaron a la falta de su generación, asimismo se anexa el siguiente criterio. </w:t>
      </w:r>
    </w:p>
    <w:p w:rsidR="0095491A" w:rsidRPr="0095491A" w:rsidRDefault="0095491A" w:rsidP="0095491A">
      <w:pPr>
        <w:spacing w:after="0" w:line="360" w:lineRule="auto"/>
        <w:ind w:left="426"/>
        <w:contextualSpacing/>
        <w:jc w:val="both"/>
        <w:rPr>
          <w:rFonts w:ascii="Palatino Linotype" w:hAnsi="Palatino Linotype"/>
          <w:sz w:val="24"/>
          <w:szCs w:val="24"/>
        </w:rPr>
      </w:pPr>
    </w:p>
    <w:p w:rsidR="0095491A" w:rsidRPr="0095491A" w:rsidRDefault="0095491A" w:rsidP="0095491A">
      <w:pPr>
        <w:spacing w:after="0" w:line="360" w:lineRule="auto"/>
        <w:ind w:left="567" w:right="616"/>
        <w:contextualSpacing/>
        <w:jc w:val="both"/>
        <w:rPr>
          <w:rFonts w:ascii="Palatino Linotype" w:hAnsi="Palatino Linotype" w:cs="Arial"/>
          <w:sz w:val="24"/>
          <w:szCs w:val="24"/>
        </w:rPr>
      </w:pPr>
      <w:r w:rsidRPr="0095491A">
        <w:rPr>
          <w:rFonts w:ascii="Palatino Linotype" w:hAnsi="Palatino Linotype" w:cs="Arial"/>
          <w:b/>
          <w:sz w:val="24"/>
          <w:szCs w:val="24"/>
        </w:rPr>
        <w:t xml:space="preserve">INEXISTENCIA DE LA INFORMACIÓN, </w:t>
      </w:r>
      <w:r w:rsidRPr="0095491A">
        <w:rPr>
          <w:rFonts w:ascii="Palatino Linotype" w:hAnsi="Palatino Linotype" w:cs="Arial"/>
          <w:b/>
          <w:sz w:val="24"/>
          <w:szCs w:val="24"/>
          <w:u w:val="single"/>
        </w:rPr>
        <w:t>SUPUESTOS</w:t>
      </w:r>
      <w:r w:rsidRPr="0095491A">
        <w:rPr>
          <w:rFonts w:ascii="Palatino Linotype" w:hAnsi="Palatino Linotype" w:cs="Arial"/>
          <w:b/>
          <w:sz w:val="24"/>
          <w:szCs w:val="24"/>
        </w:rPr>
        <w:t xml:space="preserve"> PARA MANIFESTAR LA. </w:t>
      </w:r>
      <w:r w:rsidRPr="0095491A">
        <w:rPr>
          <w:rFonts w:ascii="Palatino Linotype" w:hAnsi="Palatino Linotype" w:cs="Arial"/>
          <w:sz w:val="24"/>
          <w:szCs w:val="24"/>
        </w:rPr>
        <w:t>A</w:t>
      </w:r>
      <w:r w:rsidRPr="0095491A">
        <w:rPr>
          <w:rFonts w:ascii="Palatino Linotype" w:hAnsi="Palatino Linotype" w:cs="Arial"/>
          <w:b/>
          <w:sz w:val="24"/>
          <w:szCs w:val="24"/>
        </w:rPr>
        <w:t xml:space="preserve"> </w:t>
      </w:r>
      <w:r w:rsidRPr="0095491A">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w:t>
      </w:r>
      <w:r w:rsidRPr="0095491A">
        <w:rPr>
          <w:rFonts w:ascii="Palatino Linotype" w:hAnsi="Palatino Linotype" w:cs="Arial"/>
          <w:sz w:val="24"/>
          <w:szCs w:val="24"/>
        </w:rPr>
        <w:lastRenderedPageBreak/>
        <w:t>las causas por las que no se ha realizado el acto de autoridad y, en consecuencia, no se ha documentado decisión alguna.</w:t>
      </w:r>
    </w:p>
    <w:p w:rsidR="0095491A" w:rsidRPr="0095491A" w:rsidRDefault="0095491A" w:rsidP="0095491A">
      <w:pPr>
        <w:spacing w:after="0" w:line="360" w:lineRule="auto"/>
        <w:ind w:left="567" w:right="616"/>
        <w:contextualSpacing/>
        <w:jc w:val="both"/>
        <w:rPr>
          <w:rFonts w:ascii="Palatino Linotype" w:hAnsi="Palatino Linotype" w:cs="Arial"/>
          <w:sz w:val="24"/>
          <w:szCs w:val="24"/>
        </w:rPr>
      </w:pPr>
    </w:p>
    <w:p w:rsidR="0095491A" w:rsidRPr="0095491A" w:rsidRDefault="0095491A" w:rsidP="00C00D16">
      <w:pPr>
        <w:numPr>
          <w:ilvl w:val="0"/>
          <w:numId w:val="18"/>
        </w:numPr>
        <w:spacing w:after="0" w:line="360" w:lineRule="auto"/>
        <w:ind w:left="426" w:hanging="426"/>
        <w:contextualSpacing/>
        <w:jc w:val="both"/>
        <w:rPr>
          <w:rFonts w:ascii="Palatino Linotype" w:hAnsi="Palatino Linotype"/>
          <w:sz w:val="24"/>
          <w:szCs w:val="24"/>
        </w:rPr>
      </w:pPr>
      <w:r w:rsidRPr="0095491A">
        <w:rPr>
          <w:rFonts w:ascii="Palatino Linotype" w:hAnsi="Palatino Linotype"/>
          <w:b/>
          <w:sz w:val="24"/>
          <w:szCs w:val="24"/>
        </w:rPr>
        <w:t>Inexistencia de la información, por incumplimiento de obligación o circunstancias ajenas al SUJETO OBLIGADO</w:t>
      </w:r>
      <w:r w:rsidRPr="0095491A">
        <w:rPr>
          <w:rFonts w:ascii="Palatino Linotype" w:hAnsi="Palatino Linotype"/>
          <w:sz w:val="24"/>
          <w:szCs w:val="24"/>
        </w:rPr>
        <w:t>.</w:t>
      </w:r>
    </w:p>
    <w:p w:rsidR="0095491A" w:rsidRPr="0095491A" w:rsidRDefault="0095491A" w:rsidP="0095491A">
      <w:pPr>
        <w:spacing w:after="0" w:line="360" w:lineRule="auto"/>
        <w:ind w:left="426"/>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Esta hipótesis prevé que el </w:t>
      </w:r>
      <w:r w:rsidRPr="0095491A">
        <w:rPr>
          <w:rFonts w:ascii="Palatino Linotype" w:hAnsi="Palatino Linotype"/>
          <w:b/>
          <w:sz w:val="24"/>
          <w:szCs w:val="24"/>
        </w:rPr>
        <w:t>SUJETO OBLIGADO</w:t>
      </w:r>
      <w:r w:rsidRPr="0095491A">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95491A" w:rsidRPr="0095491A" w:rsidRDefault="0095491A" w:rsidP="0095491A">
      <w:pPr>
        <w:spacing w:after="0" w:line="360" w:lineRule="auto"/>
        <w:ind w:left="720"/>
        <w:contextualSpacing/>
        <w:jc w:val="both"/>
        <w:rPr>
          <w:rFonts w:ascii="Palatino Linotype" w:hAnsi="Palatino Linotype"/>
          <w:sz w:val="24"/>
          <w:szCs w:val="24"/>
        </w:rPr>
      </w:pPr>
    </w:p>
    <w:p w:rsidR="0095491A" w:rsidRPr="0095491A" w:rsidRDefault="0095491A" w:rsidP="0095491A">
      <w:pPr>
        <w:spacing w:after="0" w:line="360" w:lineRule="auto"/>
        <w:ind w:left="567" w:right="616"/>
        <w:jc w:val="both"/>
        <w:rPr>
          <w:rFonts w:ascii="Palatino Linotype" w:hAnsi="Palatino Linotype" w:cs="Arial"/>
          <w:sz w:val="24"/>
          <w:szCs w:val="24"/>
        </w:rPr>
      </w:pPr>
      <w:r w:rsidRPr="0095491A">
        <w:rPr>
          <w:rFonts w:ascii="Palatino Linotype" w:hAnsi="Palatino Linotype" w:cs="Arial"/>
          <w:b/>
          <w:sz w:val="24"/>
          <w:szCs w:val="24"/>
          <w:u w:val="single"/>
        </w:rPr>
        <w:t>INEXISTENCIA DE LA INFORMACIÓN,</w:t>
      </w:r>
      <w:r w:rsidRPr="0095491A">
        <w:rPr>
          <w:rFonts w:ascii="Palatino Linotype" w:hAnsi="Palatino Linotype" w:cs="Arial"/>
          <w:b/>
          <w:sz w:val="24"/>
          <w:szCs w:val="24"/>
        </w:rPr>
        <w:t xml:space="preserve"> SUPUESTOS PARA EMITIR LA RESOLUCIÓN DE LA.</w:t>
      </w:r>
      <w:r w:rsidRPr="0095491A">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w:t>
      </w:r>
      <w:r w:rsidRPr="0095491A">
        <w:rPr>
          <w:rFonts w:ascii="Palatino Linotype" w:hAnsi="Palatino Linotype" w:cs="Arial"/>
          <w:sz w:val="24"/>
          <w:szCs w:val="24"/>
        </w:rPr>
        <w:lastRenderedPageBreak/>
        <w:t xml:space="preserve">información solicitada; </w:t>
      </w:r>
      <w:r w:rsidRPr="0095491A">
        <w:rPr>
          <w:rFonts w:ascii="Palatino Linotype" w:hAnsi="Palatino Linotype" w:cs="Arial"/>
          <w:b/>
          <w:sz w:val="24"/>
          <w:szCs w:val="24"/>
        </w:rPr>
        <w:t>b) habiendo sido generada, poseída o administrada, no se cuenta con la información solicitada</w:t>
      </w:r>
      <w:r w:rsidRPr="0095491A">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95491A" w:rsidRPr="0095491A" w:rsidRDefault="0095491A" w:rsidP="0095491A">
      <w:pPr>
        <w:spacing w:after="0" w:line="360" w:lineRule="auto"/>
        <w:jc w:val="both"/>
        <w:rPr>
          <w:rFonts w:ascii="Palatino Linotype" w:eastAsia="Calibri" w:hAnsi="Palatino Linotype" w:cs="Times New Roman"/>
          <w:sz w:val="24"/>
          <w:szCs w:val="24"/>
          <w:highlight w:val="yellow"/>
          <w:lang w:val="es-ES" w:eastAsia="es-ES"/>
        </w:rPr>
      </w:pPr>
    </w:p>
    <w:p w:rsidR="0095491A" w:rsidRPr="00C00D16" w:rsidRDefault="0095491A" w:rsidP="00C00D16">
      <w:pPr>
        <w:pStyle w:val="Prrafodelista"/>
        <w:numPr>
          <w:ilvl w:val="0"/>
          <w:numId w:val="18"/>
        </w:numPr>
        <w:spacing w:after="0" w:line="360" w:lineRule="auto"/>
        <w:jc w:val="both"/>
        <w:rPr>
          <w:rFonts w:ascii="Palatino Linotype" w:eastAsia="Calibri" w:hAnsi="Palatino Linotype" w:cs="Times New Roman"/>
          <w:sz w:val="24"/>
          <w:szCs w:val="24"/>
          <w:lang w:val="es-ES" w:eastAsia="es-ES"/>
        </w:rPr>
      </w:pPr>
      <w:r w:rsidRPr="00C00D16">
        <w:rPr>
          <w:rFonts w:ascii="Palatino Linotype" w:hAnsi="Palatino Linotype"/>
          <w:b/>
          <w:sz w:val="24"/>
          <w:szCs w:val="24"/>
        </w:rPr>
        <w:t>Existencia de la información y presunción implícita.</w:t>
      </w:r>
    </w:p>
    <w:p w:rsidR="0095491A" w:rsidRPr="0095491A" w:rsidRDefault="0095491A" w:rsidP="0095491A">
      <w:pPr>
        <w:spacing w:after="0" w:line="360" w:lineRule="auto"/>
        <w:ind w:left="426"/>
        <w:contextualSpacing/>
        <w:jc w:val="both"/>
        <w:rPr>
          <w:rFonts w:ascii="Palatino Linotype" w:eastAsia="Calibri" w:hAnsi="Palatino Linotype" w:cs="Times New Roman"/>
          <w:sz w:val="24"/>
          <w:szCs w:val="24"/>
          <w:lang w:val="es-ES" w:eastAsia="es-ES"/>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 principio, el término presunción se deriva de la voz latina </w:t>
      </w:r>
      <w:r w:rsidRPr="0095491A">
        <w:rPr>
          <w:rFonts w:ascii="Palatino Linotype" w:hAnsi="Palatino Linotype"/>
          <w:i/>
          <w:sz w:val="24"/>
          <w:szCs w:val="24"/>
        </w:rPr>
        <w:t>“prae-sumere”,</w:t>
      </w:r>
      <w:r w:rsidRPr="0095491A">
        <w:rPr>
          <w:rFonts w:ascii="Palatino Linotype" w:hAnsi="Palatino Linotype"/>
          <w:sz w:val="24"/>
          <w:szCs w:val="24"/>
        </w:rPr>
        <w:t xml:space="preserve"> que significa; </w:t>
      </w:r>
      <w:r w:rsidRPr="0095491A">
        <w:rPr>
          <w:rFonts w:ascii="Palatino Linotype" w:hAnsi="Palatino Linotype"/>
          <w:i/>
          <w:sz w:val="24"/>
          <w:szCs w:val="24"/>
        </w:rPr>
        <w:t xml:space="preserve">resolver de antemano, anticipar, tomar una cosa cierta sin que esté probada o conjeturar. </w:t>
      </w:r>
      <w:r w:rsidRPr="0095491A">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95491A" w:rsidRPr="0095491A" w:rsidRDefault="0095491A" w:rsidP="0095491A">
      <w:pPr>
        <w:spacing w:after="0" w:line="360" w:lineRule="auto"/>
        <w:jc w:val="both"/>
        <w:rPr>
          <w:rFonts w:ascii="Palatino Linotype" w:hAnsi="Palatino Linotype"/>
          <w:sz w:val="24"/>
          <w:szCs w:val="24"/>
        </w:rPr>
      </w:pPr>
    </w:p>
    <w:p w:rsidR="0095491A" w:rsidRPr="0095491A" w:rsidRDefault="0095491A" w:rsidP="0095491A">
      <w:pPr>
        <w:spacing w:after="0" w:line="360" w:lineRule="auto"/>
        <w:ind w:left="567" w:right="616"/>
        <w:jc w:val="both"/>
        <w:rPr>
          <w:rFonts w:ascii="Palatino Linotype" w:hAnsi="Palatino Linotype"/>
          <w:i/>
          <w:sz w:val="24"/>
          <w:szCs w:val="24"/>
        </w:rPr>
      </w:pPr>
      <w:r w:rsidRPr="0095491A">
        <w:rPr>
          <w:rFonts w:ascii="Palatino Linotype" w:hAnsi="Palatino Linotype"/>
          <w:i/>
          <w:sz w:val="24"/>
          <w:szCs w:val="24"/>
        </w:rPr>
        <w:t xml:space="preserve">“Artículo 88. La </w:t>
      </w:r>
      <w:r w:rsidRPr="0095491A">
        <w:rPr>
          <w:rFonts w:ascii="Palatino Linotype" w:hAnsi="Palatino Linotype"/>
          <w:b/>
          <w:i/>
          <w:sz w:val="24"/>
          <w:szCs w:val="24"/>
        </w:rPr>
        <w:t>presunción es la consecuencia</w:t>
      </w:r>
      <w:r w:rsidRPr="0095491A">
        <w:rPr>
          <w:rFonts w:ascii="Palatino Linotype" w:hAnsi="Palatino Linotype"/>
          <w:i/>
          <w:sz w:val="24"/>
          <w:szCs w:val="24"/>
        </w:rPr>
        <w:t xml:space="preserve"> que la ley, autoridad administrativa o el tribunal </w:t>
      </w:r>
      <w:r w:rsidRPr="0095491A">
        <w:rPr>
          <w:rFonts w:ascii="Palatino Linotype" w:hAnsi="Palatino Linotype"/>
          <w:b/>
          <w:i/>
          <w:sz w:val="24"/>
          <w:szCs w:val="24"/>
        </w:rPr>
        <w:t>deducen de un hecho conocido para averiguar la verdad de otro desconocido</w:t>
      </w:r>
      <w:r w:rsidRPr="0095491A">
        <w:rPr>
          <w:rFonts w:ascii="Palatino Linotype" w:hAnsi="Palatino Linotype"/>
          <w:i/>
          <w:sz w:val="24"/>
          <w:szCs w:val="24"/>
        </w:rPr>
        <w:t xml:space="preserve">; la primera se llama legal y la segunda humana. </w:t>
      </w:r>
    </w:p>
    <w:p w:rsidR="0095491A" w:rsidRPr="0095491A" w:rsidRDefault="0095491A" w:rsidP="0095491A">
      <w:pPr>
        <w:spacing w:after="0" w:line="360" w:lineRule="auto"/>
        <w:ind w:left="567" w:right="616"/>
        <w:jc w:val="both"/>
        <w:rPr>
          <w:rFonts w:ascii="Palatino Linotype" w:hAnsi="Palatino Linotype"/>
          <w:i/>
          <w:sz w:val="24"/>
          <w:szCs w:val="24"/>
        </w:rPr>
      </w:pPr>
      <w:r w:rsidRPr="0095491A">
        <w:rPr>
          <w:rFonts w:ascii="Palatino Linotype" w:hAnsi="Palatino Linotype"/>
          <w:i/>
          <w:sz w:val="24"/>
          <w:szCs w:val="24"/>
        </w:rPr>
        <w:lastRenderedPageBreak/>
        <w:t xml:space="preserve">Hay presunción legal cuando la ley la establece expresamente. Hay presunción humana cunado de un hecho debidamente probado se deduce otro que es consecuencia ordinaria de aquel”. </w:t>
      </w:r>
    </w:p>
    <w:p w:rsidR="0095491A" w:rsidRPr="0095491A" w:rsidRDefault="0095491A" w:rsidP="0095491A">
      <w:pPr>
        <w:spacing w:after="0" w:line="360" w:lineRule="auto"/>
        <w:ind w:left="567" w:right="616"/>
        <w:jc w:val="both"/>
        <w:rPr>
          <w:rFonts w:ascii="Palatino Linotype" w:hAnsi="Palatino Linotype"/>
          <w:i/>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Hablando en términos de efectos procesales; la doctrina norteamericana expresa que:</w:t>
      </w:r>
    </w:p>
    <w:p w:rsidR="0095491A" w:rsidRPr="0095491A" w:rsidRDefault="0095491A" w:rsidP="0095491A">
      <w:pPr>
        <w:spacing w:after="0" w:line="360" w:lineRule="auto"/>
        <w:ind w:left="567" w:right="616"/>
        <w:jc w:val="both"/>
        <w:rPr>
          <w:rFonts w:ascii="Palatino Linotype" w:hAnsi="Palatino Linotype"/>
          <w:sz w:val="24"/>
          <w:szCs w:val="24"/>
        </w:rPr>
      </w:pPr>
      <w:r w:rsidRPr="0095491A">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95491A">
        <w:rPr>
          <w:rFonts w:ascii="Palatino Linotype" w:hAnsi="Palatino Linotype"/>
          <w:sz w:val="24"/>
          <w:szCs w:val="24"/>
        </w:rPr>
        <w:t xml:space="preserve"> </w:t>
      </w:r>
    </w:p>
    <w:p w:rsidR="0095491A" w:rsidRPr="0095491A" w:rsidRDefault="0095491A" w:rsidP="0095491A">
      <w:pPr>
        <w:spacing w:after="0" w:line="360" w:lineRule="auto"/>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95491A" w:rsidRPr="0095491A" w:rsidRDefault="0095491A" w:rsidP="0095491A">
      <w:pPr>
        <w:spacing w:after="0" w:line="360" w:lineRule="auto"/>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Parra Quijano</w:t>
      </w:r>
      <w:r w:rsidRPr="0095491A">
        <w:rPr>
          <w:rFonts w:ascii="Palatino Linotype" w:hAnsi="Palatino Linotype"/>
          <w:sz w:val="24"/>
          <w:szCs w:val="24"/>
          <w:vertAlign w:val="superscript"/>
        </w:rPr>
        <w:footnoteReference w:id="4"/>
      </w:r>
      <w:r w:rsidRPr="0095491A">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lastRenderedPageBreak/>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 materia de transparencia, esta hipótesis se encuadra de la siguiente manera:  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95491A">
        <w:rPr>
          <w:rFonts w:ascii="Palatino Linotype" w:hAnsi="Palatino Linotype"/>
          <w:b/>
          <w:sz w:val="24"/>
          <w:szCs w:val="24"/>
        </w:rPr>
        <w:t>SUJETO OBLIGADO</w:t>
      </w:r>
      <w:r w:rsidRPr="0095491A">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95491A" w:rsidRPr="0095491A" w:rsidRDefault="0095491A" w:rsidP="0095491A">
      <w:pPr>
        <w:spacing w:after="0" w:line="360" w:lineRule="auto"/>
        <w:jc w:val="both"/>
        <w:rPr>
          <w:rFonts w:ascii="Palatino Linotype" w:hAnsi="Palatino Linotype"/>
          <w:sz w:val="24"/>
          <w:szCs w:val="24"/>
        </w:rPr>
      </w:pPr>
    </w:p>
    <w:p w:rsidR="0095491A" w:rsidRPr="0095491A" w:rsidRDefault="0095491A" w:rsidP="00C00D16">
      <w:pPr>
        <w:numPr>
          <w:ilvl w:val="0"/>
          <w:numId w:val="18"/>
        </w:numPr>
        <w:spacing w:after="0" w:line="360" w:lineRule="auto"/>
        <w:ind w:left="426" w:hanging="426"/>
        <w:contextualSpacing/>
        <w:jc w:val="both"/>
        <w:rPr>
          <w:rFonts w:ascii="Palatino Linotype" w:hAnsi="Palatino Linotype"/>
          <w:sz w:val="24"/>
          <w:szCs w:val="24"/>
        </w:rPr>
      </w:pPr>
      <w:r w:rsidRPr="0095491A">
        <w:rPr>
          <w:rFonts w:ascii="Palatino Linotype" w:hAnsi="Palatino Linotype"/>
          <w:b/>
          <w:sz w:val="24"/>
          <w:szCs w:val="24"/>
        </w:rPr>
        <w:t xml:space="preserve">Inexistencia de la información, por la falta de acción de un interesado. </w:t>
      </w:r>
    </w:p>
    <w:p w:rsidR="0095491A" w:rsidRPr="0095491A" w:rsidRDefault="0095491A" w:rsidP="0095491A">
      <w:pPr>
        <w:spacing w:after="0" w:line="360" w:lineRule="auto"/>
        <w:ind w:left="426"/>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Respecto a la segunda hipótesis prevista en el artículo objeto del análisis, tenemos que posicionarnos desde una óptica procesal, por lo que es menester </w:t>
      </w:r>
      <w:r w:rsidRPr="0095491A">
        <w:rPr>
          <w:rFonts w:ascii="Palatino Linotype" w:hAnsi="Palatino Linotype"/>
          <w:sz w:val="24"/>
          <w:szCs w:val="24"/>
        </w:rPr>
        <w:lastRenderedPageBreak/>
        <w:t xml:space="preserve">señalar y entender que el concepto de derecho tiene dos particulares puntos de vista; objetivos y subjetivos. </w:t>
      </w:r>
    </w:p>
    <w:p w:rsidR="0095491A" w:rsidRPr="0095491A" w:rsidRDefault="0095491A" w:rsidP="0095491A">
      <w:pPr>
        <w:spacing w:after="0" w:line="360" w:lineRule="auto"/>
        <w:contextualSpacing/>
        <w:jc w:val="both"/>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sidRPr="0095491A">
        <w:rPr>
          <w:rFonts w:ascii="Palatino Linotype" w:hAnsi="Palatino Linotype"/>
          <w:sz w:val="24"/>
          <w:szCs w:val="24"/>
          <w:vertAlign w:val="superscript"/>
        </w:rPr>
        <w:footnoteReference w:id="5"/>
      </w:r>
      <w:r w:rsidRPr="0095491A">
        <w:rPr>
          <w:rFonts w:ascii="Palatino Linotype" w:hAnsi="Palatino Linotype"/>
          <w:sz w:val="24"/>
          <w:szCs w:val="24"/>
        </w:rPr>
        <w:t xml:space="preserve">, luego entonces, de la existencia de la pretensión, se puede llegar a la acción como una de las formas de materializarla.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w:t>
      </w:r>
      <w:r w:rsidRPr="0095491A">
        <w:rPr>
          <w:rFonts w:ascii="Palatino Linotype" w:hAnsi="Palatino Linotype"/>
          <w:sz w:val="24"/>
          <w:szCs w:val="24"/>
        </w:rPr>
        <w:lastRenderedPageBreak/>
        <w:t xml:space="preserve">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95491A">
        <w:rPr>
          <w:rFonts w:ascii="Palatino Linotype" w:hAnsi="Palatino Linotype"/>
          <w:b/>
          <w:sz w:val="24"/>
          <w:szCs w:val="24"/>
        </w:rPr>
        <w:t>SUJETO OBLIGADO</w:t>
      </w:r>
      <w:r w:rsidRPr="0095491A">
        <w:rPr>
          <w:rFonts w:ascii="Palatino Linotype" w:hAnsi="Palatino Linotype"/>
          <w:sz w:val="24"/>
          <w:szCs w:val="24"/>
        </w:rPr>
        <w:t xml:space="preserve"> y con ello una solicitud de información, es a voluntad de terceros, por lo que puede o no existir dicha voluntad. </w:t>
      </w:r>
    </w:p>
    <w:p w:rsidR="0095491A" w:rsidRPr="0095491A" w:rsidRDefault="0095491A" w:rsidP="0095491A">
      <w:pPr>
        <w:ind w:left="720"/>
        <w:contextualSpacing/>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95491A">
        <w:rPr>
          <w:rFonts w:ascii="Palatino Linotype" w:hAnsi="Palatino Linotype"/>
          <w:b/>
          <w:sz w:val="24"/>
          <w:szCs w:val="24"/>
        </w:rPr>
        <w:t>SUJETO OBLIGADO</w:t>
      </w:r>
      <w:r w:rsidRPr="0095491A">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95491A" w:rsidRPr="0095491A" w:rsidRDefault="0095491A" w:rsidP="0095491A">
      <w:pPr>
        <w:spacing w:after="0" w:line="360" w:lineRule="auto"/>
        <w:jc w:val="both"/>
        <w:rPr>
          <w:rFonts w:ascii="Palatino Linotype" w:hAnsi="Palatino Linotype"/>
          <w:sz w:val="24"/>
          <w:szCs w:val="24"/>
        </w:rPr>
      </w:pPr>
    </w:p>
    <w:p w:rsidR="0095491A" w:rsidRPr="0095491A" w:rsidRDefault="0095491A" w:rsidP="00C00D16">
      <w:pPr>
        <w:numPr>
          <w:ilvl w:val="0"/>
          <w:numId w:val="18"/>
        </w:numPr>
        <w:spacing w:after="0" w:line="360" w:lineRule="auto"/>
        <w:ind w:left="426" w:hanging="426"/>
        <w:contextualSpacing/>
        <w:jc w:val="both"/>
        <w:rPr>
          <w:rFonts w:ascii="Palatino Linotype" w:hAnsi="Palatino Linotype"/>
          <w:sz w:val="24"/>
          <w:szCs w:val="24"/>
        </w:rPr>
      </w:pPr>
      <w:r w:rsidRPr="0095491A">
        <w:rPr>
          <w:rFonts w:ascii="Palatino Linotype" w:hAnsi="Palatino Linotype"/>
          <w:b/>
          <w:sz w:val="24"/>
          <w:szCs w:val="24"/>
        </w:rPr>
        <w:t>Inexistencia de la información, por incumplimiento de obligación o circunstancias ajenas al sujeto obligado</w:t>
      </w:r>
      <w:r w:rsidRPr="0095491A">
        <w:rPr>
          <w:rFonts w:ascii="Palatino Linotype" w:hAnsi="Palatino Linotype"/>
          <w:sz w:val="24"/>
          <w:szCs w:val="24"/>
        </w:rPr>
        <w:t>:</w:t>
      </w:r>
    </w:p>
    <w:p w:rsidR="0095491A" w:rsidRPr="0095491A" w:rsidRDefault="0095491A" w:rsidP="0095491A">
      <w:pPr>
        <w:spacing w:after="0" w:line="360" w:lineRule="auto"/>
        <w:jc w:val="both"/>
        <w:rPr>
          <w:rFonts w:ascii="Palatino Linotype" w:eastAsia="Calibri" w:hAnsi="Palatino Linotype" w:cs="Times New Roman"/>
          <w:sz w:val="24"/>
          <w:szCs w:val="24"/>
          <w:highlight w:val="yellow"/>
          <w:lang w:val="es-ES" w:eastAsia="es-ES"/>
        </w:rPr>
      </w:pPr>
    </w:p>
    <w:p w:rsidR="0095491A" w:rsidRPr="0095491A" w:rsidRDefault="0095491A" w:rsidP="0095491A">
      <w:pPr>
        <w:numPr>
          <w:ilvl w:val="0"/>
          <w:numId w:val="1"/>
        </w:numPr>
        <w:spacing w:after="0" w:line="360" w:lineRule="auto"/>
        <w:ind w:left="0" w:firstLine="0"/>
        <w:contextualSpacing/>
        <w:jc w:val="both"/>
        <w:rPr>
          <w:rFonts w:ascii="Palatino Linotype" w:eastAsia="Calibri" w:hAnsi="Palatino Linotype" w:cs="Arial"/>
          <w:sz w:val="24"/>
          <w:szCs w:val="24"/>
        </w:rPr>
      </w:pPr>
      <w:r w:rsidRPr="0095491A">
        <w:rPr>
          <w:rFonts w:ascii="Palatino Linotype" w:eastAsia="Calibri" w:hAnsi="Palatino Linotype" w:cs="Times New Roman"/>
          <w:sz w:val="24"/>
          <w:szCs w:val="24"/>
          <w:lang w:val="es-ES" w:eastAsia="es-ES"/>
        </w:rPr>
        <w:lastRenderedPageBreak/>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95491A">
        <w:rPr>
          <w:rFonts w:ascii="Palatino Linotype" w:eastAsia="Calibri" w:hAnsi="Palatino Linotype" w:cs="Times New Roman"/>
          <w:b/>
          <w:sz w:val="24"/>
          <w:szCs w:val="24"/>
          <w:lang w:val="es-ES" w:eastAsia="es-ES"/>
        </w:rPr>
        <w:t>SUJETO OBLIGADO</w:t>
      </w:r>
      <w:r w:rsidRPr="0095491A">
        <w:rPr>
          <w:rFonts w:ascii="Palatino Linotype" w:eastAsia="Calibri" w:hAnsi="Palatino Linotype" w:cs="Times New Roman"/>
          <w:sz w:val="24"/>
          <w:szCs w:val="24"/>
          <w:lang w:val="es-ES" w:eastAsia="es-ES"/>
        </w:rPr>
        <w:t>; 1) N</w:t>
      </w:r>
      <w:r w:rsidRPr="0095491A">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95491A">
        <w:rPr>
          <w:rFonts w:ascii="Palatino Linotype" w:eastAsia="Calibri" w:hAnsi="Palatino Linotype" w:cs="Arial"/>
          <w:b/>
          <w:sz w:val="24"/>
          <w:szCs w:val="24"/>
        </w:rPr>
        <w:t xml:space="preserve">SUJETO OBLIGADO </w:t>
      </w:r>
      <w:r w:rsidRPr="0095491A">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95491A">
        <w:rPr>
          <w:rFonts w:ascii="Palatino Linotype" w:eastAsia="Calibri" w:hAnsi="Palatino Linotype" w:cs="Arial"/>
          <w:b/>
          <w:sz w:val="24"/>
          <w:szCs w:val="24"/>
        </w:rPr>
        <w:t>SUJETO OBLIGADO</w:t>
      </w:r>
      <w:r w:rsidRPr="0095491A">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95491A" w:rsidRPr="0095491A" w:rsidRDefault="0095491A" w:rsidP="0095491A">
      <w:pPr>
        <w:rPr>
          <w:rFonts w:ascii="Palatino Linotype" w:hAnsi="Palatino Linotype"/>
          <w:sz w:val="24"/>
          <w:szCs w:val="24"/>
        </w:rPr>
      </w:pPr>
    </w:p>
    <w:p w:rsidR="0095491A" w:rsidRPr="0095491A" w:rsidRDefault="0095491A" w:rsidP="0095491A">
      <w:pPr>
        <w:numPr>
          <w:ilvl w:val="0"/>
          <w:numId w:val="1"/>
        </w:numPr>
        <w:spacing w:after="0" w:line="360" w:lineRule="auto"/>
        <w:ind w:left="0" w:firstLine="0"/>
        <w:contextualSpacing/>
        <w:jc w:val="both"/>
        <w:rPr>
          <w:rFonts w:ascii="Palatino Linotype" w:hAnsi="Palatino Linotype"/>
          <w:sz w:val="24"/>
          <w:szCs w:val="24"/>
        </w:rPr>
      </w:pPr>
      <w:r w:rsidRPr="0095491A">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w:t>
      </w:r>
      <w:r w:rsidRPr="0095491A">
        <w:rPr>
          <w:rFonts w:ascii="Palatino Linotype" w:hAnsi="Palatino Linotype"/>
          <w:sz w:val="24"/>
          <w:szCs w:val="24"/>
        </w:rPr>
        <w:lastRenderedPageBreak/>
        <w:t xml:space="preserve">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Por ello, contrario a lo que dicen ciertas voces aisladas, explicar las razones por las cuales no se ejercieron ciertas facultades, competencias o funciones no implica que se pruebe o acredite tal circunstancia, sino que el </w:t>
      </w:r>
      <w:r w:rsidRPr="0095491A">
        <w:rPr>
          <w:rFonts w:ascii="Palatino Linotype" w:hAnsi="Palatino Linotype"/>
          <w:b/>
          <w:sz w:val="24"/>
          <w:szCs w:val="24"/>
        </w:rPr>
        <w:t>SUJETO OBLIGADO</w:t>
      </w:r>
      <w:r w:rsidRPr="0095491A">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5B1EA8" w:rsidRDefault="005B1EA8" w:rsidP="005B1EA8">
      <w:pPr>
        <w:pBdr>
          <w:top w:val="nil"/>
          <w:left w:val="nil"/>
          <w:bottom w:val="nil"/>
          <w:right w:val="nil"/>
          <w:between w:val="nil"/>
          <w:bar w:val="nil"/>
        </w:pBdr>
        <w:spacing w:after="0" w:line="360" w:lineRule="auto"/>
        <w:jc w:val="both"/>
        <w:rPr>
          <w:rFonts w:ascii="Palatino Linotype" w:eastAsia="Arial Unicode MS" w:hAnsi="Palatino Linotype"/>
          <w:sz w:val="24"/>
          <w:szCs w:val="24"/>
          <w:bdr w:val="nil"/>
        </w:rPr>
      </w:pPr>
    </w:p>
    <w:p w:rsidR="002C0425" w:rsidRPr="002A43BC" w:rsidRDefault="00746109" w:rsidP="0039183C">
      <w:pPr>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bookmarkStart w:id="12" w:name="_Toc3911808"/>
      <w:r>
        <w:rPr>
          <w:rFonts w:ascii="Palatino Linotype" w:eastAsiaTheme="majorEastAsia" w:hAnsi="Palatino Linotype" w:cstheme="majorBidi"/>
          <w:b/>
          <w:color w:val="000000" w:themeColor="text1"/>
          <w:sz w:val="24"/>
          <w:szCs w:val="24"/>
          <w:bdr w:val="nil"/>
        </w:rPr>
        <w:t>V</w:t>
      </w:r>
      <w:r w:rsidR="0023170E">
        <w:rPr>
          <w:rFonts w:ascii="Palatino Linotype" w:eastAsiaTheme="majorEastAsia" w:hAnsi="Palatino Linotype" w:cstheme="majorBidi"/>
          <w:b/>
          <w:color w:val="000000" w:themeColor="text1"/>
          <w:sz w:val="24"/>
          <w:szCs w:val="24"/>
          <w:bdr w:val="nil"/>
        </w:rPr>
        <w:t xml:space="preserve">. </w:t>
      </w:r>
      <w:r w:rsidR="00930D24">
        <w:rPr>
          <w:rFonts w:ascii="Palatino Linotype" w:eastAsiaTheme="majorEastAsia" w:hAnsi="Palatino Linotype" w:cstheme="majorBidi"/>
          <w:b/>
          <w:color w:val="000000" w:themeColor="text1"/>
          <w:sz w:val="24"/>
          <w:szCs w:val="24"/>
          <w:bdr w:val="nil"/>
        </w:rPr>
        <w:t>C</w:t>
      </w:r>
      <w:r w:rsidR="002C0425" w:rsidRPr="002A43BC">
        <w:rPr>
          <w:rFonts w:ascii="Palatino Linotype" w:eastAsiaTheme="majorEastAsia" w:hAnsi="Palatino Linotype" w:cstheme="majorBidi"/>
          <w:b/>
          <w:color w:val="000000" w:themeColor="text1"/>
          <w:sz w:val="24"/>
          <w:szCs w:val="24"/>
          <w:bdr w:val="nil"/>
        </w:rPr>
        <w:t>onclusión.</w:t>
      </w:r>
      <w:bookmarkEnd w:id="12"/>
    </w:p>
    <w:p w:rsidR="00311B32" w:rsidRPr="002A43BC" w:rsidRDefault="00311B32" w:rsidP="0039183C">
      <w:pPr>
        <w:keepNext/>
        <w:keepLines/>
        <w:pBdr>
          <w:top w:val="nil"/>
          <w:left w:val="nil"/>
          <w:bottom w:val="nil"/>
          <w:right w:val="nil"/>
          <w:between w:val="nil"/>
          <w:bar w:val="nil"/>
        </w:pBdr>
        <w:spacing w:after="0" w:line="360" w:lineRule="auto"/>
        <w:outlineLvl w:val="1"/>
        <w:rPr>
          <w:rFonts w:ascii="Palatino Linotype" w:eastAsiaTheme="majorEastAsia" w:hAnsi="Palatino Linotype" w:cstheme="majorBidi"/>
          <w:b/>
          <w:color w:val="000000" w:themeColor="text1"/>
          <w:sz w:val="24"/>
          <w:szCs w:val="24"/>
          <w:bdr w:val="nil"/>
        </w:rPr>
      </w:pPr>
    </w:p>
    <w:p w:rsidR="00100221" w:rsidRDefault="00930D24" w:rsidP="00746109">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sidRPr="00746109">
        <w:rPr>
          <w:rFonts w:ascii="Palatino Linotype" w:eastAsia="Arial Unicode MS" w:hAnsi="Palatino Linotype"/>
          <w:sz w:val="24"/>
          <w:szCs w:val="24"/>
          <w:bdr w:val="nil"/>
        </w:rPr>
        <w:t xml:space="preserve">El Derecho de Acceso a la Información pública, es una herramienta </w:t>
      </w:r>
      <w:r w:rsidR="00100221" w:rsidRPr="00746109">
        <w:rPr>
          <w:rFonts w:ascii="Palatino Linotype" w:eastAsia="Arial Unicode MS" w:hAnsi="Palatino Linotype"/>
          <w:sz w:val="24"/>
          <w:szCs w:val="24"/>
          <w:bdr w:val="nil"/>
        </w:rPr>
        <w:t xml:space="preserve">otorgada que puede ser utilizada como </w:t>
      </w:r>
      <w:r w:rsidRPr="00746109">
        <w:rPr>
          <w:rFonts w:ascii="Palatino Linotype" w:eastAsia="Arial Unicode MS" w:hAnsi="Palatino Linotype"/>
          <w:sz w:val="24"/>
          <w:szCs w:val="24"/>
          <w:bdr w:val="nil"/>
        </w:rPr>
        <w:t xml:space="preserve">contraloría ciudadana, que de observancia a probables actos que no se encuentran dentro del margen de lo legal, con la finalidad de que se tomen las medidas pertinentes contra aquellos que las cometan. </w:t>
      </w:r>
    </w:p>
    <w:p w:rsidR="00746109" w:rsidRDefault="00746109" w:rsidP="00746109">
      <w:pPr>
        <w:pStyle w:val="Prrafodelista"/>
        <w:pBdr>
          <w:top w:val="nil"/>
          <w:left w:val="nil"/>
          <w:bottom w:val="nil"/>
          <w:right w:val="nil"/>
          <w:between w:val="nil"/>
          <w:bar w:val="nil"/>
        </w:pBdr>
        <w:spacing w:after="0" w:line="360" w:lineRule="auto"/>
        <w:ind w:left="0"/>
        <w:jc w:val="both"/>
        <w:rPr>
          <w:rFonts w:ascii="Palatino Linotype" w:eastAsia="Arial Unicode MS" w:hAnsi="Palatino Linotype"/>
          <w:sz w:val="24"/>
          <w:szCs w:val="24"/>
          <w:bdr w:val="nil"/>
        </w:rPr>
      </w:pPr>
    </w:p>
    <w:p w:rsidR="00746109" w:rsidRDefault="00746109" w:rsidP="00746109">
      <w:pPr>
        <w:pStyle w:val="Prrafodelista"/>
        <w:numPr>
          <w:ilvl w:val="0"/>
          <w:numId w:val="1"/>
        </w:numPr>
        <w:pBdr>
          <w:top w:val="nil"/>
          <w:left w:val="nil"/>
          <w:bottom w:val="nil"/>
          <w:right w:val="nil"/>
          <w:between w:val="nil"/>
          <w:bar w:val="nil"/>
        </w:pBdr>
        <w:spacing w:after="0"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La información correspondiente a mesa trabajo permanente</w:t>
      </w:r>
      <w:r w:rsidRPr="00746109">
        <w:rPr>
          <w:rFonts w:ascii="Palatino Linotype" w:eastAsia="Arial Unicode MS" w:hAnsi="Palatino Linotype"/>
          <w:sz w:val="24"/>
          <w:szCs w:val="24"/>
          <w:bdr w:val="nil"/>
        </w:rPr>
        <w:t xml:space="preserve"> calendarizada con las autoridades de </w:t>
      </w:r>
      <w:r>
        <w:rPr>
          <w:rFonts w:ascii="Palatino Linotype" w:eastAsia="Arial Unicode MS" w:hAnsi="Palatino Linotype"/>
          <w:sz w:val="24"/>
          <w:szCs w:val="24"/>
          <w:bdr w:val="nil"/>
        </w:rPr>
        <w:t xml:space="preserve">cecytem para resolver problemas, </w:t>
      </w:r>
      <w:r w:rsidRPr="00746109">
        <w:rPr>
          <w:rFonts w:ascii="Palatino Linotype" w:eastAsia="Arial Unicode MS" w:hAnsi="Palatino Linotype"/>
          <w:sz w:val="24"/>
          <w:szCs w:val="24"/>
          <w:bdr w:val="nil"/>
        </w:rPr>
        <w:t>para proponer mejoras</w:t>
      </w:r>
      <w:r>
        <w:rPr>
          <w:rFonts w:ascii="Palatino Linotype" w:eastAsia="Arial Unicode MS" w:hAnsi="Palatino Linotype"/>
          <w:sz w:val="24"/>
          <w:szCs w:val="24"/>
          <w:bdr w:val="nil"/>
        </w:rPr>
        <w:t xml:space="preserve">, así  como si alguna </w:t>
      </w:r>
      <w:r w:rsidRPr="00746109">
        <w:rPr>
          <w:rFonts w:ascii="Palatino Linotype" w:eastAsia="Arial Unicode MS" w:hAnsi="Palatino Linotype"/>
          <w:sz w:val="24"/>
          <w:szCs w:val="24"/>
          <w:bdr w:val="nil"/>
        </w:rPr>
        <w:t>vez han emplazado a huelga</w:t>
      </w:r>
      <w:r>
        <w:rPr>
          <w:rFonts w:ascii="Palatino Linotype" w:eastAsia="Arial Unicode MS" w:hAnsi="Palatino Linotype"/>
          <w:sz w:val="24"/>
          <w:szCs w:val="24"/>
          <w:bdr w:val="nil"/>
        </w:rPr>
        <w:t xml:space="preserve">, es información susceptible al </w:t>
      </w:r>
      <w:r w:rsidR="00621A70" w:rsidRPr="00746109">
        <w:rPr>
          <w:rFonts w:ascii="Palatino Linotype" w:eastAsia="Arial Unicode MS" w:hAnsi="Palatino Linotype"/>
          <w:sz w:val="24"/>
          <w:szCs w:val="24"/>
          <w:bdr w:val="nil"/>
        </w:rPr>
        <w:t xml:space="preserve">escrutinio público e interés social, </w:t>
      </w:r>
      <w:r>
        <w:rPr>
          <w:rFonts w:ascii="Palatino Linotype" w:eastAsia="Arial Unicode MS" w:hAnsi="Palatino Linotype"/>
          <w:sz w:val="24"/>
          <w:szCs w:val="24"/>
          <w:bdr w:val="nil"/>
        </w:rPr>
        <w:t>misma que se debió de proporcionar en versión pública por corresponder a la atribuciones del Sujeto Obligado.</w:t>
      </w:r>
    </w:p>
    <w:p w:rsidR="00746109" w:rsidRPr="00746109" w:rsidRDefault="00746109" w:rsidP="00746109">
      <w:pPr>
        <w:pStyle w:val="Prrafodelista"/>
        <w:rPr>
          <w:rFonts w:ascii="Palatino Linotype" w:eastAsia="Arial Unicode MS" w:hAnsi="Palatino Linotype"/>
          <w:sz w:val="24"/>
          <w:szCs w:val="24"/>
          <w:bdr w:val="nil"/>
        </w:rPr>
      </w:pPr>
    </w:p>
    <w:p w:rsidR="00746109" w:rsidRDefault="00746109" w:rsidP="00746109">
      <w:pPr>
        <w:pStyle w:val="Prrafodelista"/>
        <w:numPr>
          <w:ilvl w:val="0"/>
          <w:numId w:val="1"/>
        </w:numPr>
        <w:spacing w:line="360" w:lineRule="auto"/>
        <w:ind w:left="0" w:firstLine="0"/>
        <w:jc w:val="both"/>
        <w:rPr>
          <w:rFonts w:ascii="Palatino Linotype" w:eastAsia="Arial Unicode MS" w:hAnsi="Palatino Linotype"/>
          <w:sz w:val="24"/>
          <w:szCs w:val="24"/>
          <w:bdr w:val="nil"/>
        </w:rPr>
      </w:pPr>
      <w:r>
        <w:rPr>
          <w:rFonts w:ascii="Palatino Linotype" w:eastAsia="Arial Unicode MS" w:hAnsi="Palatino Linotype"/>
          <w:sz w:val="24"/>
          <w:szCs w:val="24"/>
          <w:bdr w:val="nil"/>
        </w:rPr>
        <w:t xml:space="preserve">No obstante </w:t>
      </w:r>
      <w:r w:rsidRPr="00746109">
        <w:rPr>
          <w:rFonts w:ascii="Palatino Linotype" w:eastAsia="Arial Unicode MS" w:hAnsi="Palatino Linotype"/>
          <w:sz w:val="24"/>
          <w:szCs w:val="24"/>
          <w:bdr w:val="nil"/>
        </w:rPr>
        <w:t>lo anterior, no puedo compartir los términos</w:t>
      </w:r>
      <w:r>
        <w:rPr>
          <w:rFonts w:ascii="Palatino Linotype" w:eastAsia="Arial Unicode MS" w:hAnsi="Palatino Linotype"/>
          <w:sz w:val="24"/>
          <w:szCs w:val="24"/>
          <w:bdr w:val="nil"/>
        </w:rPr>
        <w:t xml:space="preserve"> aprobados del resolutivo quinto</w:t>
      </w:r>
      <w:r w:rsidRPr="00746109">
        <w:rPr>
          <w:rFonts w:ascii="Palatino Linotype" w:eastAsia="Arial Unicode MS" w:hAnsi="Palatino Linotype"/>
          <w:sz w:val="24"/>
          <w:szCs w:val="24"/>
          <w:bdr w:val="nil"/>
        </w:rPr>
        <w:t xml:space="preserve"> ya que, desde mi punto de vista, el Sindicato también tiene derecho de acudir al juicio de amparo si considera que la resolución emitida por el Pleno del Instituto le causa algún agravio, en virtud de que se trata de una persona moral no pública y, en esa condición, tiene el derecho de acceso a la justicia, indisponible para el Órgano Garante. </w:t>
      </w:r>
    </w:p>
    <w:p w:rsidR="00746109" w:rsidRPr="00746109" w:rsidRDefault="00746109" w:rsidP="00746109">
      <w:pPr>
        <w:pStyle w:val="Prrafodelista"/>
        <w:rPr>
          <w:rFonts w:ascii="Palatino Linotype" w:eastAsia="Calibri" w:hAnsi="Palatino Linotype" w:cs="Arial"/>
          <w:sz w:val="24"/>
          <w:szCs w:val="24"/>
        </w:rPr>
      </w:pPr>
    </w:p>
    <w:p w:rsidR="00746109" w:rsidRPr="00746109" w:rsidRDefault="00746109" w:rsidP="00746109">
      <w:pPr>
        <w:pStyle w:val="Prrafodelista"/>
        <w:numPr>
          <w:ilvl w:val="0"/>
          <w:numId w:val="1"/>
        </w:numPr>
        <w:spacing w:line="360" w:lineRule="auto"/>
        <w:ind w:left="0" w:firstLine="0"/>
        <w:jc w:val="both"/>
        <w:rPr>
          <w:rFonts w:ascii="Palatino Linotype" w:eastAsia="Arial Unicode MS" w:hAnsi="Palatino Linotype"/>
          <w:sz w:val="24"/>
          <w:szCs w:val="24"/>
          <w:bdr w:val="nil"/>
        </w:rPr>
      </w:pPr>
      <w:r>
        <w:rPr>
          <w:rFonts w:ascii="Palatino Linotype" w:eastAsia="Calibri" w:hAnsi="Palatino Linotype" w:cs="Arial"/>
          <w:sz w:val="24"/>
          <w:szCs w:val="24"/>
        </w:rPr>
        <w:t>C</w:t>
      </w:r>
      <w:r w:rsidRPr="00746109">
        <w:rPr>
          <w:rFonts w:ascii="Palatino Linotype" w:eastAsia="Calibri" w:hAnsi="Palatino Linotype" w:cs="Arial"/>
          <w:sz w:val="24"/>
          <w:szCs w:val="24"/>
        </w:rPr>
        <w:t>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2C0425" w:rsidRDefault="002C0425" w:rsidP="002A43BC">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746109" w:rsidRPr="002A43BC" w:rsidRDefault="00746109" w:rsidP="002A43BC">
      <w:pPr>
        <w:pBdr>
          <w:top w:val="nil"/>
          <w:left w:val="nil"/>
          <w:bottom w:val="nil"/>
          <w:right w:val="nil"/>
          <w:between w:val="nil"/>
          <w:bar w:val="nil"/>
        </w:pBdr>
        <w:spacing w:after="0" w:line="360" w:lineRule="auto"/>
        <w:rPr>
          <w:rFonts w:ascii="Palatino Linotype" w:eastAsia="Arial" w:hAnsi="Palatino Linotype" w:cs="Arial"/>
          <w:b/>
          <w:color w:val="000000" w:themeColor="text1"/>
          <w:sz w:val="24"/>
          <w:szCs w:val="24"/>
          <w:bdr w:val="nil"/>
          <w:lang w:eastAsia="es-MX"/>
        </w:rPr>
      </w:pPr>
    </w:p>
    <w:p w:rsidR="002C0425"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JOSÉ GUADALUPE LUNA HERNÁNDEZ</w:t>
      </w:r>
    </w:p>
    <w:p w:rsidR="002C0425"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r w:rsidRPr="002A43BC">
        <w:rPr>
          <w:rFonts w:ascii="Palatino Linotype" w:eastAsia="Arial" w:hAnsi="Palatino Linotype" w:cs="Arial"/>
          <w:b/>
          <w:color w:val="000000" w:themeColor="text1"/>
          <w:sz w:val="24"/>
          <w:szCs w:val="24"/>
          <w:bdr w:val="nil"/>
          <w:lang w:eastAsia="es-MX"/>
        </w:rPr>
        <w:t>COMISIONADO</w:t>
      </w:r>
    </w:p>
    <w:p w:rsidR="002C0425" w:rsidRDefault="002C0425"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C05464" w:rsidRPr="002A43BC" w:rsidRDefault="00C05464" w:rsidP="002A43BC">
      <w:pPr>
        <w:pBdr>
          <w:top w:val="nil"/>
          <w:left w:val="nil"/>
          <w:bottom w:val="nil"/>
          <w:right w:val="nil"/>
          <w:between w:val="nil"/>
          <w:bar w:val="nil"/>
        </w:pBdr>
        <w:spacing w:after="0" w:line="360" w:lineRule="auto"/>
        <w:jc w:val="center"/>
        <w:rPr>
          <w:rFonts w:ascii="Palatino Linotype" w:eastAsia="Arial" w:hAnsi="Palatino Linotype" w:cs="Arial"/>
          <w:b/>
          <w:color w:val="000000" w:themeColor="text1"/>
          <w:sz w:val="24"/>
          <w:szCs w:val="24"/>
          <w:bdr w:val="nil"/>
          <w:lang w:eastAsia="es-MX"/>
        </w:rPr>
      </w:pPr>
    </w:p>
    <w:p w:rsidR="00122EB1" w:rsidRPr="0039183C" w:rsidRDefault="00311B32" w:rsidP="0039183C">
      <w:pPr>
        <w:pBdr>
          <w:top w:val="nil"/>
          <w:left w:val="nil"/>
          <w:bottom w:val="nil"/>
          <w:right w:val="nil"/>
          <w:between w:val="nil"/>
          <w:bar w:val="nil"/>
        </w:pBdr>
        <w:spacing w:after="0" w:line="360" w:lineRule="auto"/>
        <w:rPr>
          <w:rFonts w:ascii="Palatino Linotype" w:eastAsia="Arial" w:hAnsi="Palatino Linotype" w:cs="Arial"/>
          <w:color w:val="000000" w:themeColor="text1"/>
          <w:sz w:val="24"/>
          <w:szCs w:val="24"/>
          <w:bdr w:val="nil"/>
          <w:lang w:eastAsia="es-MX"/>
        </w:rPr>
      </w:pPr>
      <w:r w:rsidRPr="002A43BC">
        <w:rPr>
          <w:rFonts w:ascii="Palatino Linotype" w:eastAsia="Arial" w:hAnsi="Palatino Linotype" w:cs="Arial"/>
          <w:color w:val="000000" w:themeColor="text1"/>
          <w:sz w:val="24"/>
          <w:szCs w:val="24"/>
          <w:bdr w:val="nil"/>
          <w:lang w:eastAsia="es-MX"/>
        </w:rPr>
        <w:t>JGLH/</w:t>
      </w:r>
      <w:r w:rsidR="00746109">
        <w:rPr>
          <w:rFonts w:ascii="Palatino Linotype" w:eastAsia="Arial" w:hAnsi="Palatino Linotype" w:cs="Arial"/>
          <w:color w:val="000000" w:themeColor="text1"/>
          <w:sz w:val="24"/>
          <w:szCs w:val="24"/>
          <w:bdr w:val="nil"/>
          <w:lang w:eastAsia="es-MX"/>
        </w:rPr>
        <w:t>MSA</w:t>
      </w:r>
    </w:p>
    <w:sectPr w:rsidR="00122EB1" w:rsidRPr="0039183C" w:rsidSect="002A43BC">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F65" w:rsidRDefault="002A4F65" w:rsidP="002C0425">
      <w:pPr>
        <w:spacing w:after="0" w:line="240" w:lineRule="auto"/>
      </w:pPr>
      <w:r>
        <w:separator/>
      </w:r>
    </w:p>
  </w:endnote>
  <w:endnote w:type="continuationSeparator" w:id="0">
    <w:p w:rsidR="002A4F65" w:rsidRDefault="002A4F65" w:rsidP="002C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1A" w:rsidRDefault="009549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95491A" w:rsidRDefault="0095491A">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66794">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66794">
              <w:rPr>
                <w:rFonts w:ascii="Palatino Linotype" w:hAnsi="Palatino Linotype"/>
                <w:b/>
                <w:bCs/>
                <w:noProof/>
                <w:sz w:val="20"/>
                <w:szCs w:val="20"/>
              </w:rPr>
              <w:t>42</w:t>
            </w:r>
            <w:r w:rsidRPr="0052203D">
              <w:rPr>
                <w:rFonts w:ascii="Palatino Linotype" w:hAnsi="Palatino Linotype"/>
                <w:b/>
                <w:bCs/>
                <w:sz w:val="20"/>
                <w:szCs w:val="20"/>
              </w:rPr>
              <w:fldChar w:fldCharType="end"/>
            </w:r>
          </w:p>
        </w:sdtContent>
      </w:sdt>
    </w:sdtContent>
  </w:sdt>
  <w:p w:rsidR="0095491A" w:rsidRDefault="0095491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1A" w:rsidRDefault="009549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F65" w:rsidRDefault="002A4F65" w:rsidP="002C0425">
      <w:pPr>
        <w:spacing w:after="0" w:line="240" w:lineRule="auto"/>
      </w:pPr>
      <w:r>
        <w:separator/>
      </w:r>
    </w:p>
  </w:footnote>
  <w:footnote w:type="continuationSeparator" w:id="0">
    <w:p w:rsidR="002A4F65" w:rsidRDefault="002A4F65" w:rsidP="002C0425">
      <w:pPr>
        <w:spacing w:after="0" w:line="240" w:lineRule="auto"/>
      </w:pPr>
      <w:r>
        <w:continuationSeparator/>
      </w:r>
    </w:p>
  </w:footnote>
  <w:footnote w:id="1">
    <w:p w:rsidR="0095491A" w:rsidRDefault="0095491A" w:rsidP="005B1EA8">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2">
    <w:p w:rsidR="0095491A" w:rsidRPr="00236D89" w:rsidRDefault="0095491A" w:rsidP="005B1EA8">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3">
    <w:p w:rsidR="0095491A" w:rsidRDefault="0095491A" w:rsidP="005B1EA8">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 w:id="4">
    <w:p w:rsidR="0095491A" w:rsidRDefault="0095491A" w:rsidP="0095491A">
      <w:pPr>
        <w:pStyle w:val="Textonotapie"/>
      </w:pPr>
      <w:r>
        <w:rPr>
          <w:rStyle w:val="Refdenotaalpie"/>
        </w:rPr>
        <w:footnoteRef/>
      </w:r>
      <w:r>
        <w:t xml:space="preserve"> Reflexiones sobre las presunciones, Parra Quijano. Jairo, pag. 1. </w:t>
      </w:r>
    </w:p>
  </w:footnote>
  <w:footnote w:id="5">
    <w:p w:rsidR="0095491A" w:rsidRDefault="0095491A" w:rsidP="0095491A">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1A" w:rsidRDefault="002A4F65">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50" type="#_x0000_t136" style="position:absolute;margin-left:0;margin-top:0;width:538.05pt;height:84.95pt;rotation:315;z-index:-25165619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1A" w:rsidRDefault="002A4F65">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51" type="#_x0000_t136" style="position:absolute;margin-left:0;margin-top:0;width:538.05pt;height:84.9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95491A" w:rsidRDefault="0095491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91A" w:rsidRDefault="002A4F65">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49" type="#_x0000_t136" style="position:absolute;margin-left:0;margin-top:0;width:538.05pt;height:84.95pt;rotation:315;z-index:-251657216;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DFB"/>
    <w:multiLevelType w:val="hybridMultilevel"/>
    <w:tmpl w:val="5C2EE6B6"/>
    <w:lvl w:ilvl="0" w:tplc="679EA47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956DB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503877"/>
    <w:multiLevelType w:val="hybridMultilevel"/>
    <w:tmpl w:val="22EAC7B0"/>
    <w:lvl w:ilvl="0" w:tplc="44A26CFC">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1CBA513A"/>
    <w:multiLevelType w:val="hybridMultilevel"/>
    <w:tmpl w:val="7AF46214"/>
    <w:lvl w:ilvl="0" w:tplc="7CA2BB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5E2F0D"/>
    <w:multiLevelType w:val="hybridMultilevel"/>
    <w:tmpl w:val="F214B2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FAD0B65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4D01F0"/>
    <w:multiLevelType w:val="hybridMultilevel"/>
    <w:tmpl w:val="20A010AE"/>
    <w:lvl w:ilvl="0" w:tplc="47F8579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51462D46"/>
    <w:multiLevelType w:val="hybridMultilevel"/>
    <w:tmpl w:val="26C6DAD0"/>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7202FA"/>
    <w:multiLevelType w:val="hybridMultilevel"/>
    <w:tmpl w:val="26C6DAD0"/>
    <w:lvl w:ilvl="0" w:tplc="314C95F2">
      <w:start w:val="1"/>
      <w:numFmt w:val="decimal"/>
      <w:lvlText w:val="%1."/>
      <w:lvlJc w:val="left"/>
      <w:pPr>
        <w:ind w:left="36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CF6A33"/>
    <w:multiLevelType w:val="multilevel"/>
    <w:tmpl w:val="EAA4448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1461161"/>
    <w:multiLevelType w:val="hybridMultilevel"/>
    <w:tmpl w:val="8272BA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8D28F8"/>
    <w:multiLevelType w:val="hybridMultilevel"/>
    <w:tmpl w:val="5D9CAEAA"/>
    <w:lvl w:ilvl="0" w:tplc="2AC89930">
      <w:start w:val="30"/>
      <w:numFmt w:val="decimal"/>
      <w:lvlText w:val="%1"/>
      <w:lvlJc w:val="left"/>
      <w:pPr>
        <w:ind w:left="720" w:hanging="360"/>
      </w:pPr>
      <w:rPr>
        <w:rFonts w:cstheme="minorBid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877895"/>
    <w:multiLevelType w:val="hybridMultilevel"/>
    <w:tmpl w:val="F1D8B5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5"/>
  </w:num>
  <w:num w:numId="3">
    <w:abstractNumId w:val="0"/>
  </w:num>
  <w:num w:numId="4">
    <w:abstractNumId w:val="4"/>
  </w:num>
  <w:num w:numId="5">
    <w:abstractNumId w:val="12"/>
  </w:num>
  <w:num w:numId="6">
    <w:abstractNumId w:val="9"/>
  </w:num>
  <w:num w:numId="7">
    <w:abstractNumId w:val="7"/>
  </w:num>
  <w:num w:numId="8">
    <w:abstractNumId w:val="1"/>
  </w:num>
  <w:num w:numId="9">
    <w:abstractNumId w:val="6"/>
  </w:num>
  <w:num w:numId="10">
    <w:abstractNumId w:val="17"/>
  </w:num>
  <w:num w:numId="11">
    <w:abstractNumId w:val="5"/>
  </w:num>
  <w:num w:numId="12">
    <w:abstractNumId w:val="18"/>
  </w:num>
  <w:num w:numId="13">
    <w:abstractNumId w:val="3"/>
  </w:num>
  <w:num w:numId="14">
    <w:abstractNumId w:val="16"/>
  </w:num>
  <w:num w:numId="15">
    <w:abstractNumId w:val="8"/>
  </w:num>
  <w:num w:numId="16">
    <w:abstractNumId w:val="14"/>
  </w:num>
  <w:num w:numId="17">
    <w:abstractNumId w:val="13"/>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25"/>
    <w:rsid w:val="000150BA"/>
    <w:rsid w:val="00032496"/>
    <w:rsid w:val="00091FA7"/>
    <w:rsid w:val="000A29FD"/>
    <w:rsid w:val="000C3F66"/>
    <w:rsid w:val="000D2CB7"/>
    <w:rsid w:val="000D3249"/>
    <w:rsid w:val="00100221"/>
    <w:rsid w:val="001132CB"/>
    <w:rsid w:val="00117A12"/>
    <w:rsid w:val="00122EB1"/>
    <w:rsid w:val="00141B6E"/>
    <w:rsid w:val="00147149"/>
    <w:rsid w:val="001C621B"/>
    <w:rsid w:val="001E1ABF"/>
    <w:rsid w:val="00215DCF"/>
    <w:rsid w:val="0023130B"/>
    <w:rsid w:val="0023170E"/>
    <w:rsid w:val="00253D8C"/>
    <w:rsid w:val="00277FA3"/>
    <w:rsid w:val="0029152A"/>
    <w:rsid w:val="002A30A3"/>
    <w:rsid w:val="002A43BC"/>
    <w:rsid w:val="002A4F65"/>
    <w:rsid w:val="002B2DB8"/>
    <w:rsid w:val="002B3F42"/>
    <w:rsid w:val="002C0425"/>
    <w:rsid w:val="00311B32"/>
    <w:rsid w:val="00326F89"/>
    <w:rsid w:val="0039183C"/>
    <w:rsid w:val="003B34A8"/>
    <w:rsid w:val="003C6C75"/>
    <w:rsid w:val="003E6DA4"/>
    <w:rsid w:val="003F100C"/>
    <w:rsid w:val="003F5F80"/>
    <w:rsid w:val="00401D61"/>
    <w:rsid w:val="00406B19"/>
    <w:rsid w:val="00414282"/>
    <w:rsid w:val="0042787B"/>
    <w:rsid w:val="0043259F"/>
    <w:rsid w:val="0044193D"/>
    <w:rsid w:val="00465268"/>
    <w:rsid w:val="004971E6"/>
    <w:rsid w:val="004B46C5"/>
    <w:rsid w:val="004E6086"/>
    <w:rsid w:val="004F39B9"/>
    <w:rsid w:val="004F7A40"/>
    <w:rsid w:val="005001CF"/>
    <w:rsid w:val="00512D09"/>
    <w:rsid w:val="00587D1C"/>
    <w:rsid w:val="00593CC1"/>
    <w:rsid w:val="005B0502"/>
    <w:rsid w:val="005B1EA8"/>
    <w:rsid w:val="005C6624"/>
    <w:rsid w:val="005C7AE6"/>
    <w:rsid w:val="0060449E"/>
    <w:rsid w:val="0061369A"/>
    <w:rsid w:val="00621A70"/>
    <w:rsid w:val="00623067"/>
    <w:rsid w:val="00623C8D"/>
    <w:rsid w:val="00624117"/>
    <w:rsid w:val="006A5D29"/>
    <w:rsid w:val="006E6998"/>
    <w:rsid w:val="006F47DC"/>
    <w:rsid w:val="00703237"/>
    <w:rsid w:val="00742484"/>
    <w:rsid w:val="00746109"/>
    <w:rsid w:val="00760EFD"/>
    <w:rsid w:val="00766794"/>
    <w:rsid w:val="007813AE"/>
    <w:rsid w:val="007846D2"/>
    <w:rsid w:val="00792890"/>
    <w:rsid w:val="007B5DDB"/>
    <w:rsid w:val="007B7418"/>
    <w:rsid w:val="007F2468"/>
    <w:rsid w:val="007F4F75"/>
    <w:rsid w:val="007F7136"/>
    <w:rsid w:val="00802AAE"/>
    <w:rsid w:val="0082021B"/>
    <w:rsid w:val="0087228E"/>
    <w:rsid w:val="00872E88"/>
    <w:rsid w:val="00881525"/>
    <w:rsid w:val="008855B5"/>
    <w:rsid w:val="00895986"/>
    <w:rsid w:val="008A3BC8"/>
    <w:rsid w:val="008D0A77"/>
    <w:rsid w:val="008D7542"/>
    <w:rsid w:val="0090379C"/>
    <w:rsid w:val="00930D24"/>
    <w:rsid w:val="00942EE7"/>
    <w:rsid w:val="0095491A"/>
    <w:rsid w:val="00956804"/>
    <w:rsid w:val="00956E2E"/>
    <w:rsid w:val="009773F9"/>
    <w:rsid w:val="0099532E"/>
    <w:rsid w:val="009B57E6"/>
    <w:rsid w:val="00A045DD"/>
    <w:rsid w:val="00A3574A"/>
    <w:rsid w:val="00A472F8"/>
    <w:rsid w:val="00A8690E"/>
    <w:rsid w:val="00AF53C4"/>
    <w:rsid w:val="00B00D57"/>
    <w:rsid w:val="00B03408"/>
    <w:rsid w:val="00B623D1"/>
    <w:rsid w:val="00BB518F"/>
    <w:rsid w:val="00BC08D2"/>
    <w:rsid w:val="00BC4265"/>
    <w:rsid w:val="00C00D16"/>
    <w:rsid w:val="00C05464"/>
    <w:rsid w:val="00C2473C"/>
    <w:rsid w:val="00C451F4"/>
    <w:rsid w:val="00C62100"/>
    <w:rsid w:val="00C703BE"/>
    <w:rsid w:val="00C70C3A"/>
    <w:rsid w:val="00C72F11"/>
    <w:rsid w:val="00C849E8"/>
    <w:rsid w:val="00C86B5D"/>
    <w:rsid w:val="00C92C05"/>
    <w:rsid w:val="00CA6E2D"/>
    <w:rsid w:val="00CB1589"/>
    <w:rsid w:val="00CD2100"/>
    <w:rsid w:val="00D05906"/>
    <w:rsid w:val="00D12B23"/>
    <w:rsid w:val="00D147B9"/>
    <w:rsid w:val="00D2011B"/>
    <w:rsid w:val="00D449BF"/>
    <w:rsid w:val="00D97982"/>
    <w:rsid w:val="00E427C6"/>
    <w:rsid w:val="00E42F7C"/>
    <w:rsid w:val="00E42F9C"/>
    <w:rsid w:val="00E579FB"/>
    <w:rsid w:val="00E65FC8"/>
    <w:rsid w:val="00ED65F6"/>
    <w:rsid w:val="00F173E3"/>
    <w:rsid w:val="00F579CF"/>
    <w:rsid w:val="00F644D1"/>
    <w:rsid w:val="00F74857"/>
    <w:rsid w:val="00FA7EDC"/>
    <w:rsid w:val="00FB13AE"/>
    <w:rsid w:val="00FB5CBE"/>
    <w:rsid w:val="00FF0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7FA421-1A48-4403-84D1-BA7738AF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B1E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1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C042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C0425"/>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2C0425"/>
    <w:rPr>
      <w:vertAlign w:val="superscript"/>
    </w:rPr>
  </w:style>
  <w:style w:type="paragraph" w:styleId="Piedepgina">
    <w:name w:val="footer"/>
    <w:basedOn w:val="Normal"/>
    <w:link w:val="Piedepgina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2C0425"/>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2C0425"/>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2C0425"/>
    <w:rPr>
      <w:rFonts w:ascii="Times New Roman" w:eastAsia="Arial Unicode MS" w:hAnsi="Times New Roman" w:cs="Times New Roman"/>
      <w:sz w:val="24"/>
      <w:szCs w:val="24"/>
      <w:bdr w:val="ni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32496"/>
    <w:pPr>
      <w:ind w:left="720"/>
      <w:contextualSpacing/>
    </w:pPr>
  </w:style>
  <w:style w:type="paragraph" w:styleId="TDC1">
    <w:name w:val="toc 1"/>
    <w:basedOn w:val="Normal"/>
    <w:next w:val="Normal"/>
    <w:autoRedefine/>
    <w:uiPriority w:val="39"/>
    <w:unhideWhenUsed/>
    <w:rsid w:val="0039183C"/>
    <w:pPr>
      <w:tabs>
        <w:tab w:val="left" w:pos="440"/>
        <w:tab w:val="right" w:leader="dot" w:pos="8828"/>
      </w:tabs>
      <w:spacing w:after="100"/>
      <w:ind w:left="284"/>
    </w:pPr>
  </w:style>
  <w:style w:type="paragraph" w:styleId="TDC2">
    <w:name w:val="toc 2"/>
    <w:basedOn w:val="Normal"/>
    <w:next w:val="Normal"/>
    <w:autoRedefine/>
    <w:uiPriority w:val="39"/>
    <w:unhideWhenUsed/>
    <w:rsid w:val="00311B32"/>
    <w:pPr>
      <w:spacing w:after="100"/>
      <w:ind w:left="220"/>
    </w:pPr>
  </w:style>
  <w:style w:type="paragraph" w:styleId="TDC3">
    <w:name w:val="toc 3"/>
    <w:basedOn w:val="Normal"/>
    <w:next w:val="Normal"/>
    <w:autoRedefine/>
    <w:uiPriority w:val="39"/>
    <w:unhideWhenUsed/>
    <w:rsid w:val="00311B32"/>
    <w:pPr>
      <w:spacing w:after="100"/>
      <w:ind w:left="440"/>
    </w:pPr>
  </w:style>
  <w:style w:type="character" w:styleId="Hipervnculo">
    <w:name w:val="Hyperlink"/>
    <w:basedOn w:val="Fuentedeprrafopredeter"/>
    <w:uiPriority w:val="99"/>
    <w:unhideWhenUsed/>
    <w:rsid w:val="00311B3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70E"/>
  </w:style>
  <w:style w:type="paragraph" w:styleId="Sinespaciado">
    <w:name w:val="No Spacing"/>
    <w:uiPriority w:val="1"/>
    <w:qFormat/>
    <w:rsid w:val="000150BA"/>
    <w:pPr>
      <w:spacing w:after="0" w:line="240" w:lineRule="auto"/>
    </w:pPr>
  </w:style>
  <w:style w:type="paragraph" w:styleId="Textodeglobo">
    <w:name w:val="Balloon Text"/>
    <w:basedOn w:val="Normal"/>
    <w:link w:val="TextodegloboCar"/>
    <w:uiPriority w:val="99"/>
    <w:semiHidden/>
    <w:unhideWhenUsed/>
    <w:rsid w:val="000150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0BA"/>
    <w:rPr>
      <w:rFonts w:ascii="Segoe UI" w:hAnsi="Segoe UI" w:cs="Segoe UI"/>
      <w:sz w:val="18"/>
      <w:szCs w:val="18"/>
    </w:rPr>
  </w:style>
  <w:style w:type="character" w:customStyle="1" w:styleId="Ttulo1Car">
    <w:name w:val="Título 1 Car"/>
    <w:basedOn w:val="Fuentedeprrafopredeter"/>
    <w:link w:val="Ttulo1"/>
    <w:uiPriority w:val="9"/>
    <w:rsid w:val="005B1EA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B1E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1436-1680-4C02-8523-6FD679E6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9056</Words>
  <Characters>49810</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2019-03-20T00:27:00Z</cp:lastPrinted>
  <dcterms:created xsi:type="dcterms:W3CDTF">2019-03-21T00:01:00Z</dcterms:created>
  <dcterms:modified xsi:type="dcterms:W3CDTF">2019-03-21T00:01:00Z</dcterms:modified>
</cp:coreProperties>
</file>